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52" w:rsidRPr="00AB1FEA" w:rsidRDefault="002658EA">
      <w:pPr>
        <w:rPr>
          <w:rFonts w:ascii="Verdana" w:hAnsi="Verdana"/>
          <w:b/>
          <w:color w:val="C00000"/>
        </w:rPr>
      </w:pPr>
      <w:r w:rsidRPr="00AB1FEA">
        <w:rPr>
          <w:rFonts w:ascii="Verdana" w:hAnsi="Verdana"/>
          <w:b/>
          <w:color w:val="C00000"/>
        </w:rPr>
        <w:t>EKONOMSKA ŠKOLA ŠIBENIK</w:t>
      </w:r>
    </w:p>
    <w:p w:rsidR="002658EA" w:rsidRPr="00AB1FEA" w:rsidRDefault="002658EA">
      <w:pPr>
        <w:rPr>
          <w:rFonts w:ascii="Verdana" w:hAnsi="Verdana"/>
          <w:b/>
          <w:color w:val="C00000"/>
        </w:rPr>
      </w:pPr>
      <w:r w:rsidRPr="00AB1FEA">
        <w:rPr>
          <w:rFonts w:ascii="Verdana" w:hAnsi="Verdana"/>
          <w:b/>
          <w:color w:val="C00000"/>
        </w:rPr>
        <w:tab/>
        <w:t xml:space="preserve">  Š I B E N I K</w:t>
      </w:r>
    </w:p>
    <w:p w:rsidR="002658EA" w:rsidRDefault="002658EA">
      <w:pPr>
        <w:rPr>
          <w:rFonts w:ascii="Verdana" w:hAnsi="Verdana"/>
          <w:b/>
        </w:rPr>
      </w:pPr>
    </w:p>
    <w:p w:rsidR="00A03D01" w:rsidRPr="000532F3" w:rsidRDefault="00A03D01">
      <w:pPr>
        <w:rPr>
          <w:rFonts w:ascii="Verdana" w:hAnsi="Verdana"/>
          <w:b/>
        </w:rPr>
      </w:pPr>
    </w:p>
    <w:p w:rsidR="002658EA" w:rsidRPr="00AB1FEA" w:rsidRDefault="002658EA" w:rsidP="002658EA">
      <w:pPr>
        <w:jc w:val="center"/>
        <w:rPr>
          <w:rFonts w:ascii="Verdana" w:hAnsi="Verdana"/>
          <w:b/>
          <w:color w:val="C00000"/>
        </w:rPr>
      </w:pPr>
      <w:r w:rsidRPr="00AB1FEA">
        <w:rPr>
          <w:rFonts w:ascii="Verdana" w:hAnsi="Verdana"/>
          <w:b/>
          <w:color w:val="C00000"/>
        </w:rPr>
        <w:t>TEME ZA IZRADU ZAVRŠNOG RADA šk. god. 2016./2017.</w:t>
      </w:r>
    </w:p>
    <w:p w:rsidR="002658EA" w:rsidRPr="00AB1FEA" w:rsidRDefault="002658EA" w:rsidP="002658EA">
      <w:pPr>
        <w:jc w:val="center"/>
        <w:rPr>
          <w:rFonts w:ascii="Verdana" w:hAnsi="Verdana"/>
          <w:b/>
          <w:color w:val="C00000"/>
        </w:rPr>
      </w:pPr>
      <w:r w:rsidRPr="00AB1FEA">
        <w:rPr>
          <w:rFonts w:ascii="Verdana" w:hAnsi="Verdana"/>
          <w:b/>
          <w:color w:val="C00000"/>
        </w:rPr>
        <w:t>OBRAZOVNI PROFIL: EKONOMIST</w:t>
      </w:r>
    </w:p>
    <w:p w:rsidR="002658EA" w:rsidRPr="00AB1FEA" w:rsidRDefault="002658EA" w:rsidP="002658EA">
      <w:pPr>
        <w:jc w:val="center"/>
        <w:rPr>
          <w:rFonts w:ascii="Verdana" w:hAnsi="Verdana"/>
          <w:b/>
          <w:color w:val="C00000"/>
        </w:rPr>
      </w:pPr>
    </w:p>
    <w:p w:rsidR="002658EA" w:rsidRDefault="002658EA" w:rsidP="002658EA">
      <w:pPr>
        <w:jc w:val="center"/>
        <w:rPr>
          <w:rFonts w:ascii="Verdana" w:hAnsi="Verdana"/>
          <w:color w:val="1F4E79" w:themeColor="accent1" w:themeShade="80"/>
        </w:rPr>
      </w:pPr>
    </w:p>
    <w:p w:rsidR="00A03D01" w:rsidRPr="00AB1FEA" w:rsidRDefault="00A03D01" w:rsidP="002658EA">
      <w:pPr>
        <w:jc w:val="center"/>
        <w:rPr>
          <w:rFonts w:ascii="Verdana" w:hAnsi="Verdana"/>
          <w:color w:val="1F4E79" w:themeColor="accent1" w:themeShade="80"/>
        </w:rPr>
      </w:pPr>
    </w:p>
    <w:p w:rsidR="002658EA" w:rsidRPr="00AB1FEA" w:rsidRDefault="002658EA" w:rsidP="002658EA">
      <w:pPr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b/>
          <w:color w:val="1F4E79" w:themeColor="accent1" w:themeShade="80"/>
        </w:rPr>
        <w:t>PODUZETNIŠTVO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Povijesni pregled poduzetničke teorije i prakse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Poduzetnik – nositelj poduzetničke aktivnosti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Socijalno poduzetništvo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Obiteljski biznis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Etika i poduzetništvo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Poduzetnička ideja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Poduzetnički motivi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Poduzetnički ciljevi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Poslovni plan (primjer)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Ulaganja iz vlastitih izvora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Ulaganja iz tuđih izvor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Društvena potpora razvoju poduzetništva u RH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Prikaz najpoznatijih menadžera današnjice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Upravljanje ljudskim potencijalima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Životni ciklus poduzetničke organizacije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Menadžment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Poslovne funkcije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Poticanje poduzetništva u Šibensko- kninskoj županiji</w:t>
      </w:r>
    </w:p>
    <w:p w:rsidR="002658EA" w:rsidRPr="00AB1F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Poduzetničko okruženje poslovne organizacije</w:t>
      </w:r>
    </w:p>
    <w:p w:rsidR="002658EA" w:rsidRDefault="002658EA" w:rsidP="002658EA">
      <w:pPr>
        <w:pStyle w:val="Odlomakpopisa"/>
        <w:numPr>
          <w:ilvl w:val="0"/>
          <w:numId w:val="1"/>
        </w:num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Slobodna tema- odabir teme u dogovoru s mentorom</w:t>
      </w:r>
    </w:p>
    <w:p w:rsidR="00A03D01" w:rsidRPr="00AB1FEA" w:rsidRDefault="00A03D01" w:rsidP="00A03D01">
      <w:pPr>
        <w:pStyle w:val="Odlomakpopisa"/>
        <w:rPr>
          <w:rFonts w:ascii="Verdana" w:hAnsi="Verdana"/>
          <w:color w:val="1F4E79" w:themeColor="accent1" w:themeShade="80"/>
        </w:rPr>
      </w:pPr>
    </w:p>
    <w:p w:rsidR="002658EA" w:rsidRPr="00AB1FEA" w:rsidRDefault="002658EA" w:rsidP="002658EA">
      <w:pPr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b/>
          <w:color w:val="1F4E79" w:themeColor="accent1" w:themeShade="80"/>
        </w:rPr>
        <w:lastRenderedPageBreak/>
        <w:t>BANKARSTVO I OSIGURANJE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21.</w:t>
      </w:r>
      <w:r w:rsidR="002658EA" w:rsidRPr="00AB1FEA">
        <w:rPr>
          <w:rFonts w:ascii="Verdana" w:hAnsi="Verdana"/>
          <w:color w:val="1F4E79" w:themeColor="accent1" w:themeShade="80"/>
        </w:rPr>
        <w:t>Kreditne kartice i kartično poslovanje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22.</w:t>
      </w:r>
      <w:r w:rsidR="002658EA" w:rsidRPr="00AB1FEA">
        <w:rPr>
          <w:rFonts w:ascii="Verdana" w:hAnsi="Verdana"/>
          <w:color w:val="1F4E79" w:themeColor="accent1" w:themeShade="80"/>
        </w:rPr>
        <w:t>Oročeni depoziti građana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23. </w:t>
      </w:r>
      <w:r w:rsidR="002658EA" w:rsidRPr="00AB1FEA">
        <w:rPr>
          <w:rFonts w:ascii="Verdana" w:hAnsi="Verdana"/>
          <w:color w:val="1F4E79" w:themeColor="accent1" w:themeShade="80"/>
        </w:rPr>
        <w:t>Gotovinski i potrošački krediti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24. </w:t>
      </w:r>
      <w:r w:rsidR="002658EA" w:rsidRPr="00AB1FEA">
        <w:rPr>
          <w:rFonts w:ascii="Verdana" w:hAnsi="Verdana"/>
          <w:color w:val="1F4E79" w:themeColor="accent1" w:themeShade="80"/>
        </w:rPr>
        <w:t>Elektroničko bankarstvo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25. </w:t>
      </w:r>
      <w:r w:rsidR="002658EA" w:rsidRPr="00AB1FEA">
        <w:rPr>
          <w:rFonts w:ascii="Verdana" w:hAnsi="Verdana"/>
          <w:color w:val="1F4E79" w:themeColor="accent1" w:themeShade="80"/>
        </w:rPr>
        <w:t>Blagajničko poslovanje i transakciji proizvodi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>26.</w:t>
      </w:r>
      <w:r w:rsidR="002658EA" w:rsidRPr="00AB1FEA">
        <w:rPr>
          <w:rFonts w:ascii="Verdana" w:hAnsi="Verdana"/>
          <w:color w:val="1F4E79" w:themeColor="accent1" w:themeShade="80"/>
        </w:rPr>
        <w:t>Poslovno bankarstvo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27. </w:t>
      </w:r>
      <w:r w:rsidR="002658EA" w:rsidRPr="00AB1FEA">
        <w:rPr>
          <w:rFonts w:ascii="Verdana" w:hAnsi="Verdana"/>
          <w:color w:val="1F4E79" w:themeColor="accent1" w:themeShade="80"/>
        </w:rPr>
        <w:t>Aktivni poslovi banke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28. </w:t>
      </w:r>
      <w:r w:rsidR="002658EA" w:rsidRPr="00AB1FEA">
        <w:rPr>
          <w:rFonts w:ascii="Verdana" w:hAnsi="Verdana"/>
          <w:color w:val="1F4E79" w:themeColor="accent1" w:themeShade="80"/>
        </w:rPr>
        <w:t>Životno osiguranje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29. </w:t>
      </w:r>
      <w:r w:rsidR="002658EA" w:rsidRPr="00AB1FEA">
        <w:rPr>
          <w:rFonts w:ascii="Verdana" w:hAnsi="Verdana"/>
          <w:color w:val="1F4E79" w:themeColor="accent1" w:themeShade="80"/>
        </w:rPr>
        <w:t>Osiguranje od automobilske odgovornosti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30. </w:t>
      </w:r>
      <w:r w:rsidR="002658EA" w:rsidRPr="00AB1FEA">
        <w:rPr>
          <w:rFonts w:ascii="Verdana" w:hAnsi="Verdana"/>
          <w:color w:val="1F4E79" w:themeColor="accent1" w:themeShade="80"/>
        </w:rPr>
        <w:t xml:space="preserve">Osiguranje kućanstva </w:t>
      </w:r>
    </w:p>
    <w:p w:rsidR="002658EA" w:rsidRPr="00AB1FEA" w:rsidRDefault="002658EA" w:rsidP="002658EA">
      <w:pPr>
        <w:ind w:left="360"/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b/>
          <w:color w:val="1F4E79" w:themeColor="accent1" w:themeShade="80"/>
        </w:rPr>
        <w:t>TRŽIŠTE KAPITALA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31. </w:t>
      </w:r>
      <w:r w:rsidR="002658EA" w:rsidRPr="00AB1FEA">
        <w:rPr>
          <w:rFonts w:ascii="Verdana" w:hAnsi="Verdana"/>
          <w:color w:val="1F4E79" w:themeColor="accent1" w:themeShade="80"/>
        </w:rPr>
        <w:t>Središnja banka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32. </w:t>
      </w:r>
      <w:r w:rsidR="002658EA" w:rsidRPr="00AB1FEA">
        <w:rPr>
          <w:rFonts w:ascii="Verdana" w:hAnsi="Verdana"/>
          <w:color w:val="1F4E79" w:themeColor="accent1" w:themeShade="80"/>
        </w:rPr>
        <w:t>Tržište kapitala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33. </w:t>
      </w:r>
      <w:r w:rsidR="002658EA" w:rsidRPr="00AB1FEA">
        <w:rPr>
          <w:rFonts w:ascii="Verdana" w:hAnsi="Verdana"/>
          <w:color w:val="1F4E79" w:themeColor="accent1" w:themeShade="80"/>
        </w:rPr>
        <w:t>Financijski posrednici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34. </w:t>
      </w:r>
      <w:r w:rsidR="002658EA" w:rsidRPr="00AB1FEA">
        <w:rPr>
          <w:rFonts w:ascii="Verdana" w:hAnsi="Verdana"/>
          <w:color w:val="1F4E79" w:themeColor="accent1" w:themeShade="80"/>
        </w:rPr>
        <w:t>Mirovinski fondovi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35. </w:t>
      </w:r>
      <w:r w:rsidR="002658EA" w:rsidRPr="00AB1FEA">
        <w:rPr>
          <w:rFonts w:ascii="Verdana" w:hAnsi="Verdana"/>
          <w:color w:val="1F4E79" w:themeColor="accent1" w:themeShade="80"/>
        </w:rPr>
        <w:t>Investicijski fondovi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36. </w:t>
      </w:r>
      <w:r w:rsidR="002658EA" w:rsidRPr="00AB1FEA">
        <w:rPr>
          <w:rFonts w:ascii="Verdana" w:hAnsi="Verdana"/>
          <w:color w:val="1F4E79" w:themeColor="accent1" w:themeShade="80"/>
        </w:rPr>
        <w:t>Dionice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37. </w:t>
      </w:r>
      <w:r w:rsidR="002658EA" w:rsidRPr="00AB1FEA">
        <w:rPr>
          <w:rFonts w:ascii="Verdana" w:hAnsi="Verdana"/>
          <w:color w:val="1F4E79" w:themeColor="accent1" w:themeShade="80"/>
        </w:rPr>
        <w:t>Obveznice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38. </w:t>
      </w:r>
      <w:r w:rsidR="002658EA" w:rsidRPr="00AB1FEA">
        <w:rPr>
          <w:rFonts w:ascii="Verdana" w:hAnsi="Verdana"/>
          <w:color w:val="1F4E79" w:themeColor="accent1" w:themeShade="80"/>
        </w:rPr>
        <w:t>Hrvatska agencija za nadzor financijskih usluga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39. </w:t>
      </w:r>
      <w:r w:rsidR="002658EA" w:rsidRPr="00AB1FEA">
        <w:rPr>
          <w:rFonts w:ascii="Verdana" w:hAnsi="Verdana"/>
          <w:color w:val="1F4E79" w:themeColor="accent1" w:themeShade="80"/>
        </w:rPr>
        <w:t>Središnje klirinško depozitno društvo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40. </w:t>
      </w:r>
      <w:r w:rsidR="002658EA" w:rsidRPr="00AB1FEA">
        <w:rPr>
          <w:rFonts w:ascii="Verdana" w:hAnsi="Verdana"/>
          <w:color w:val="1F4E79" w:themeColor="accent1" w:themeShade="80"/>
        </w:rPr>
        <w:t>Svjetske burze</w:t>
      </w:r>
    </w:p>
    <w:p w:rsidR="002658EA" w:rsidRPr="00AB1FEA" w:rsidRDefault="002658EA" w:rsidP="002658EA">
      <w:pPr>
        <w:ind w:left="360"/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b/>
          <w:color w:val="1F4E79" w:themeColor="accent1" w:themeShade="80"/>
        </w:rPr>
        <w:t>MARKETING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41. </w:t>
      </w:r>
      <w:r w:rsidR="002658EA" w:rsidRPr="00AB1FEA">
        <w:rPr>
          <w:rFonts w:ascii="Verdana" w:hAnsi="Verdana"/>
          <w:color w:val="1F4E79" w:themeColor="accent1" w:themeShade="80"/>
        </w:rPr>
        <w:t>Marketinško istraživanje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42. </w:t>
      </w:r>
      <w:r w:rsidR="002658EA" w:rsidRPr="00AB1FEA">
        <w:rPr>
          <w:rFonts w:ascii="Verdana" w:hAnsi="Verdana"/>
          <w:color w:val="1F4E79" w:themeColor="accent1" w:themeShade="80"/>
        </w:rPr>
        <w:t>Društveno odgovorni marketing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43. </w:t>
      </w:r>
      <w:r w:rsidR="002658EA" w:rsidRPr="00AB1FEA">
        <w:rPr>
          <w:rFonts w:ascii="Verdana" w:hAnsi="Verdana"/>
          <w:color w:val="1F4E79" w:themeColor="accent1" w:themeShade="80"/>
        </w:rPr>
        <w:t>Ponašanje potrošača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44. </w:t>
      </w:r>
      <w:r w:rsidR="002658EA" w:rsidRPr="00AB1FEA">
        <w:rPr>
          <w:rFonts w:ascii="Verdana" w:hAnsi="Verdana"/>
          <w:color w:val="1F4E79" w:themeColor="accent1" w:themeShade="80"/>
        </w:rPr>
        <w:t>Tajno kupovanje (</w:t>
      </w:r>
      <w:proofErr w:type="spellStart"/>
      <w:r w:rsidR="002658EA" w:rsidRPr="00AB1FEA">
        <w:rPr>
          <w:rFonts w:ascii="Verdana" w:hAnsi="Verdana"/>
          <w:color w:val="1F4E79" w:themeColor="accent1" w:themeShade="80"/>
        </w:rPr>
        <w:t>Mystery</w:t>
      </w:r>
      <w:proofErr w:type="spellEnd"/>
      <w:r w:rsidR="002658EA" w:rsidRPr="00AB1FEA">
        <w:rPr>
          <w:rFonts w:ascii="Verdana" w:hAnsi="Verdana"/>
          <w:color w:val="1F4E79" w:themeColor="accent1" w:themeShade="80"/>
        </w:rPr>
        <w:t xml:space="preserve"> </w:t>
      </w:r>
      <w:proofErr w:type="spellStart"/>
      <w:r w:rsidR="002658EA" w:rsidRPr="00AB1FEA">
        <w:rPr>
          <w:rFonts w:ascii="Verdana" w:hAnsi="Verdana"/>
          <w:color w:val="1F4E79" w:themeColor="accent1" w:themeShade="80"/>
        </w:rPr>
        <w:t>shopping</w:t>
      </w:r>
      <w:proofErr w:type="spellEnd"/>
      <w:r w:rsidR="002658EA" w:rsidRPr="00AB1FEA">
        <w:rPr>
          <w:rFonts w:ascii="Verdana" w:hAnsi="Verdana"/>
          <w:color w:val="1F4E79" w:themeColor="accent1" w:themeShade="80"/>
        </w:rPr>
        <w:t>)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45. </w:t>
      </w:r>
      <w:r w:rsidR="002658EA" w:rsidRPr="00AB1FEA">
        <w:rPr>
          <w:rFonts w:ascii="Verdana" w:hAnsi="Verdana"/>
          <w:color w:val="1F4E79" w:themeColor="accent1" w:themeShade="80"/>
        </w:rPr>
        <w:t>Promocija kao element marketinškog spleta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lastRenderedPageBreak/>
        <w:t xml:space="preserve">46. </w:t>
      </w:r>
      <w:r w:rsidR="002658EA" w:rsidRPr="00AB1FEA">
        <w:rPr>
          <w:rFonts w:ascii="Verdana" w:hAnsi="Verdana"/>
          <w:color w:val="1F4E79" w:themeColor="accent1" w:themeShade="80"/>
        </w:rPr>
        <w:t>Cijena kao element marketinškog spleta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47. </w:t>
      </w:r>
      <w:r w:rsidR="002658EA" w:rsidRPr="00AB1FEA">
        <w:rPr>
          <w:rFonts w:ascii="Verdana" w:hAnsi="Verdana"/>
          <w:color w:val="1F4E79" w:themeColor="accent1" w:themeShade="80"/>
        </w:rPr>
        <w:t>Plasman kao element marketinškog spleta</w:t>
      </w:r>
    </w:p>
    <w:p w:rsidR="002658EA" w:rsidRPr="00AB1FEA" w:rsidRDefault="00203E44" w:rsidP="00203E44">
      <w:pPr>
        <w:spacing w:after="200" w:line="276" w:lineRule="auto"/>
        <w:ind w:left="360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48. </w:t>
      </w:r>
      <w:r w:rsidR="002658EA" w:rsidRPr="00AB1FEA">
        <w:rPr>
          <w:rFonts w:ascii="Verdana" w:hAnsi="Verdana"/>
          <w:color w:val="1F4E79" w:themeColor="accent1" w:themeShade="80"/>
        </w:rPr>
        <w:t>Zaštita potrošača u RH</w:t>
      </w:r>
    </w:p>
    <w:p w:rsidR="002658EA" w:rsidRPr="00AB1FEA" w:rsidRDefault="00203E44" w:rsidP="00203E44">
      <w:pPr>
        <w:spacing w:after="200" w:line="276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49. </w:t>
      </w:r>
      <w:r w:rsidR="002658EA" w:rsidRPr="00AB1FEA">
        <w:rPr>
          <w:rFonts w:ascii="Verdana" w:hAnsi="Verdana"/>
          <w:color w:val="1F4E79" w:themeColor="accent1" w:themeShade="80"/>
        </w:rPr>
        <w:t>Marketinška strategija</w:t>
      </w:r>
    </w:p>
    <w:p w:rsidR="002658EA" w:rsidRPr="00AB1FEA" w:rsidRDefault="00203E44" w:rsidP="00203E44">
      <w:pPr>
        <w:spacing w:after="200" w:line="276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50. </w:t>
      </w:r>
      <w:r w:rsidR="002658EA" w:rsidRPr="00AB1FEA">
        <w:rPr>
          <w:rFonts w:ascii="Verdana" w:hAnsi="Verdana"/>
          <w:color w:val="1F4E79" w:themeColor="accent1" w:themeShade="80"/>
        </w:rPr>
        <w:t>Razvoj novih proizvoda i životni ciklus proizvoda</w:t>
      </w:r>
    </w:p>
    <w:p w:rsidR="002658EA" w:rsidRPr="00AB1FEA" w:rsidRDefault="002658EA" w:rsidP="002658EA">
      <w:pPr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</w:t>
      </w:r>
      <w:r w:rsidRPr="00AB1FEA">
        <w:rPr>
          <w:rFonts w:ascii="Verdana" w:hAnsi="Verdana"/>
          <w:b/>
          <w:color w:val="1F4E79" w:themeColor="accent1" w:themeShade="80"/>
        </w:rPr>
        <w:t>STATISTIKA</w:t>
      </w:r>
    </w:p>
    <w:p w:rsidR="002658EA" w:rsidRPr="00AB1FEA" w:rsidRDefault="00203E44" w:rsidP="00203E44">
      <w:pPr>
        <w:spacing w:after="200" w:line="276" w:lineRule="auto"/>
        <w:ind w:left="360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51. </w:t>
      </w:r>
      <w:r w:rsidR="002658EA" w:rsidRPr="00AB1FEA">
        <w:rPr>
          <w:rFonts w:ascii="Verdana" w:hAnsi="Verdana"/>
          <w:color w:val="1F4E79" w:themeColor="accent1" w:themeShade="80"/>
        </w:rPr>
        <w:t>Prikupljanje podataka (ankete)</w:t>
      </w:r>
    </w:p>
    <w:p w:rsidR="002658EA" w:rsidRPr="00AB1FEA" w:rsidRDefault="00203E44" w:rsidP="00203E44">
      <w:pPr>
        <w:spacing w:after="200" w:line="276" w:lineRule="auto"/>
        <w:ind w:left="360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52. </w:t>
      </w:r>
      <w:r w:rsidR="002658EA" w:rsidRPr="00AB1FEA">
        <w:rPr>
          <w:rFonts w:ascii="Verdana" w:hAnsi="Verdana"/>
          <w:color w:val="1F4E79" w:themeColor="accent1" w:themeShade="80"/>
        </w:rPr>
        <w:t>Mladi i ovisnosti</w:t>
      </w:r>
    </w:p>
    <w:p w:rsidR="002658EA" w:rsidRPr="00AB1FEA" w:rsidRDefault="00203E44" w:rsidP="00203E44">
      <w:pPr>
        <w:spacing w:after="200" w:line="276" w:lineRule="auto"/>
        <w:ind w:left="360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53. </w:t>
      </w:r>
      <w:r w:rsidR="002658EA" w:rsidRPr="00AB1FEA">
        <w:rPr>
          <w:rFonts w:ascii="Verdana" w:hAnsi="Verdana"/>
          <w:color w:val="1F4E79" w:themeColor="accent1" w:themeShade="80"/>
        </w:rPr>
        <w:t>Prikazivanje podataka (tabele-grafikoni)</w:t>
      </w:r>
    </w:p>
    <w:p w:rsidR="002658EA" w:rsidRPr="00AB1FEA" w:rsidRDefault="00203E44" w:rsidP="00203E44">
      <w:pPr>
        <w:spacing w:after="200" w:line="276" w:lineRule="auto"/>
        <w:ind w:left="360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54. </w:t>
      </w:r>
      <w:r w:rsidR="002658EA" w:rsidRPr="00AB1FEA">
        <w:rPr>
          <w:rFonts w:ascii="Verdana" w:hAnsi="Verdana"/>
          <w:color w:val="1F4E79" w:themeColor="accent1" w:themeShade="80"/>
        </w:rPr>
        <w:t>Mladi i Internet</w:t>
      </w:r>
    </w:p>
    <w:p w:rsidR="002658EA" w:rsidRPr="00AB1FEA" w:rsidRDefault="00203E44" w:rsidP="00203E44">
      <w:pPr>
        <w:spacing w:after="200" w:line="276" w:lineRule="auto"/>
        <w:ind w:left="360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55. </w:t>
      </w:r>
      <w:r w:rsidR="002658EA" w:rsidRPr="00AB1FEA">
        <w:rPr>
          <w:rFonts w:ascii="Verdana" w:hAnsi="Verdana"/>
          <w:color w:val="1F4E79" w:themeColor="accent1" w:themeShade="80"/>
        </w:rPr>
        <w:t>Mladi i sport</w:t>
      </w:r>
    </w:p>
    <w:p w:rsidR="002658EA" w:rsidRPr="00AB1FEA" w:rsidRDefault="002658EA" w:rsidP="002658EA">
      <w:pPr>
        <w:autoSpaceDE w:val="0"/>
        <w:autoSpaceDN w:val="0"/>
        <w:adjustRightInd w:val="0"/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b/>
          <w:color w:val="1F4E79" w:themeColor="accent1" w:themeShade="80"/>
        </w:rPr>
        <w:t>RAČUNOVODSTVO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 56. </w:t>
      </w:r>
      <w:r w:rsidR="002658EA" w:rsidRPr="00AB1FEA">
        <w:rPr>
          <w:rFonts w:ascii="Verdana" w:hAnsi="Verdana"/>
          <w:color w:val="1F4E79" w:themeColor="accent1" w:themeShade="80"/>
        </w:rPr>
        <w:t>Financijski izvještaji na primjeru ________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57.</w:t>
      </w:r>
      <w:r w:rsidR="002658EA" w:rsidRPr="00AB1FEA">
        <w:rPr>
          <w:rFonts w:ascii="Verdana" w:hAnsi="Verdana"/>
          <w:color w:val="1F4E79" w:themeColor="accent1" w:themeShade="80"/>
        </w:rPr>
        <w:t xml:space="preserve"> Računovodstvo neprofitne organizacije na primjeru______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58. </w:t>
      </w:r>
      <w:r w:rsidR="002658EA" w:rsidRPr="00AB1FEA">
        <w:rPr>
          <w:rFonts w:ascii="Verdana" w:hAnsi="Verdana"/>
          <w:color w:val="1F4E79" w:themeColor="accent1" w:themeShade="80"/>
        </w:rPr>
        <w:t>Utvrđivanje poslovnog rezultata na primjeru__________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59. </w:t>
      </w:r>
      <w:r w:rsidR="002658EA" w:rsidRPr="00AB1FEA">
        <w:rPr>
          <w:rFonts w:ascii="Verdana" w:hAnsi="Verdana"/>
          <w:color w:val="1F4E79" w:themeColor="accent1" w:themeShade="80"/>
        </w:rPr>
        <w:t>Računovodstveno praćenje troškova na primjeru__________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60. </w:t>
      </w:r>
      <w:r w:rsidR="002658EA" w:rsidRPr="00AB1FEA">
        <w:rPr>
          <w:rFonts w:ascii="Verdana" w:hAnsi="Verdana"/>
          <w:color w:val="1F4E79" w:themeColor="accent1" w:themeShade="80"/>
        </w:rPr>
        <w:t>Računovodstveno praćenje dugotrajne imovine na primjeru__________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61. </w:t>
      </w:r>
      <w:r w:rsidR="002658EA" w:rsidRPr="00AB1FEA">
        <w:rPr>
          <w:rFonts w:ascii="Verdana" w:hAnsi="Verdana"/>
          <w:color w:val="1F4E79" w:themeColor="accent1" w:themeShade="80"/>
        </w:rPr>
        <w:t>Računovodstveno praćenje kratkotrajne imovine na primjeru__________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62. </w:t>
      </w:r>
      <w:r w:rsidR="002658EA" w:rsidRPr="00AB1FEA">
        <w:rPr>
          <w:rFonts w:ascii="Verdana" w:hAnsi="Verdana"/>
          <w:color w:val="1F4E79" w:themeColor="accent1" w:themeShade="80"/>
        </w:rPr>
        <w:t>Proračunsko računovodstvo na primjeru______________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63. </w:t>
      </w:r>
      <w:r w:rsidR="002658EA" w:rsidRPr="00AB1FEA">
        <w:rPr>
          <w:rFonts w:ascii="Verdana" w:hAnsi="Verdana"/>
          <w:color w:val="1F4E79" w:themeColor="accent1" w:themeShade="80"/>
        </w:rPr>
        <w:t>Računovodstveno praćenje proizvodnje na primjeru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64. </w:t>
      </w:r>
      <w:r w:rsidR="002658EA" w:rsidRPr="00AB1FEA">
        <w:rPr>
          <w:rFonts w:ascii="Verdana" w:hAnsi="Verdana"/>
          <w:color w:val="1F4E79" w:themeColor="accent1" w:themeShade="80"/>
        </w:rPr>
        <w:t xml:space="preserve">Računovodstveno praćenje </w:t>
      </w:r>
      <w:r w:rsidRPr="00AB1FEA">
        <w:rPr>
          <w:rFonts w:ascii="Verdana" w:hAnsi="Verdana"/>
          <w:color w:val="1F4E79" w:themeColor="accent1" w:themeShade="80"/>
        </w:rPr>
        <w:t>financijske imovine na primjeru __________</w:t>
      </w:r>
    </w:p>
    <w:p w:rsidR="002658EA" w:rsidRPr="00AB1FEA" w:rsidRDefault="00203E44" w:rsidP="002658EA">
      <w:pPr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65. </w:t>
      </w:r>
      <w:r w:rsidR="002658EA" w:rsidRPr="00AB1FEA">
        <w:rPr>
          <w:rFonts w:ascii="Verdana" w:hAnsi="Verdana"/>
          <w:color w:val="1F4E79" w:themeColor="accent1" w:themeShade="80"/>
        </w:rPr>
        <w:t>Računovodstvo obrtnika na primjeru__________________</w:t>
      </w:r>
    </w:p>
    <w:p w:rsidR="002658EA" w:rsidRPr="00AB1FEA" w:rsidRDefault="002658EA" w:rsidP="002658EA">
      <w:pPr>
        <w:spacing w:line="240" w:lineRule="auto"/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b/>
          <w:color w:val="1F4E79" w:themeColor="accent1" w:themeShade="80"/>
        </w:rPr>
        <w:t>OSNOVE  EKONOMIJE</w:t>
      </w:r>
    </w:p>
    <w:p w:rsidR="002658EA" w:rsidRPr="00AB1FEA" w:rsidRDefault="00203E44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66. </w:t>
      </w:r>
      <w:r w:rsidR="002658EA" w:rsidRPr="00AB1FEA">
        <w:rPr>
          <w:rFonts w:ascii="Verdana" w:hAnsi="Verdana"/>
          <w:color w:val="1F4E79" w:themeColor="accent1" w:themeShade="80"/>
        </w:rPr>
        <w:t xml:space="preserve">Prirodni </w:t>
      </w:r>
      <w:proofErr w:type="spellStart"/>
      <w:r w:rsidR="002658EA" w:rsidRPr="00AB1FEA">
        <w:rPr>
          <w:rFonts w:ascii="Verdana" w:hAnsi="Verdana"/>
          <w:color w:val="1F4E79" w:themeColor="accent1" w:themeShade="80"/>
        </w:rPr>
        <w:t>resursi,rad</w:t>
      </w:r>
      <w:proofErr w:type="spellEnd"/>
      <w:r w:rsidR="002658EA" w:rsidRPr="00AB1FEA">
        <w:rPr>
          <w:rFonts w:ascii="Verdana" w:hAnsi="Verdana"/>
          <w:color w:val="1F4E79" w:themeColor="accent1" w:themeShade="80"/>
        </w:rPr>
        <w:t xml:space="preserve"> i kapital</w:t>
      </w:r>
    </w:p>
    <w:p w:rsidR="002658EA" w:rsidRPr="00AB1FEA" w:rsidRDefault="00203E44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67. </w:t>
      </w:r>
      <w:r w:rsidR="002658EA" w:rsidRPr="00AB1FEA">
        <w:rPr>
          <w:rFonts w:ascii="Verdana" w:hAnsi="Verdana"/>
          <w:color w:val="1F4E79" w:themeColor="accent1" w:themeShade="80"/>
        </w:rPr>
        <w:t>Održivi razvoj</w:t>
      </w:r>
    </w:p>
    <w:p w:rsidR="002658EA" w:rsidRPr="00AB1FEA" w:rsidRDefault="00203E44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68. </w:t>
      </w:r>
      <w:r w:rsidR="002658EA" w:rsidRPr="00AB1FEA">
        <w:rPr>
          <w:rFonts w:ascii="Verdana" w:hAnsi="Verdana"/>
          <w:color w:val="1F4E79" w:themeColor="accent1" w:themeShade="80"/>
        </w:rPr>
        <w:t xml:space="preserve">Ljudske </w:t>
      </w:r>
      <w:proofErr w:type="spellStart"/>
      <w:r w:rsidR="002658EA" w:rsidRPr="00AB1FEA">
        <w:rPr>
          <w:rFonts w:ascii="Verdana" w:hAnsi="Verdana"/>
          <w:color w:val="1F4E79" w:themeColor="accent1" w:themeShade="80"/>
        </w:rPr>
        <w:t>potrebe,želje</w:t>
      </w:r>
      <w:proofErr w:type="spellEnd"/>
      <w:r w:rsidR="002658EA" w:rsidRPr="00AB1FEA">
        <w:rPr>
          <w:rFonts w:ascii="Verdana" w:hAnsi="Verdana"/>
          <w:color w:val="1F4E79" w:themeColor="accent1" w:themeShade="80"/>
        </w:rPr>
        <w:t xml:space="preserve"> i ograničeni resursi</w:t>
      </w:r>
    </w:p>
    <w:p w:rsidR="002658EA" w:rsidRPr="00AB1FEA" w:rsidRDefault="00203E44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69. </w:t>
      </w:r>
      <w:r w:rsidR="002658EA" w:rsidRPr="00AB1FEA">
        <w:rPr>
          <w:rFonts w:ascii="Verdana" w:hAnsi="Verdana"/>
          <w:color w:val="1F4E79" w:themeColor="accent1" w:themeShade="80"/>
        </w:rPr>
        <w:t>Uloga države u gospodarstvu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70. </w:t>
      </w:r>
      <w:r w:rsidR="002658EA" w:rsidRPr="00AB1FEA">
        <w:rPr>
          <w:rFonts w:ascii="Verdana" w:hAnsi="Verdana"/>
          <w:color w:val="1F4E79" w:themeColor="accent1" w:themeShade="80"/>
        </w:rPr>
        <w:t>Povijest ekonomske misli-klasična škola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71. </w:t>
      </w:r>
      <w:r w:rsidR="002658EA" w:rsidRPr="00AB1FEA">
        <w:rPr>
          <w:rFonts w:ascii="Verdana" w:hAnsi="Verdana"/>
          <w:color w:val="1F4E79" w:themeColor="accent1" w:themeShade="80"/>
        </w:rPr>
        <w:t>Tržišne strukture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72. </w:t>
      </w:r>
      <w:r w:rsidR="002658EA" w:rsidRPr="00AB1FEA">
        <w:rPr>
          <w:rFonts w:ascii="Verdana" w:hAnsi="Verdana"/>
          <w:color w:val="1F4E79" w:themeColor="accent1" w:themeShade="80"/>
        </w:rPr>
        <w:t>Bruto domaći proizvod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lastRenderedPageBreak/>
        <w:t xml:space="preserve">  </w:t>
      </w:r>
      <w:r w:rsidR="002658EA" w:rsidRPr="00AB1FEA">
        <w:rPr>
          <w:rFonts w:ascii="Verdana" w:hAnsi="Verdana"/>
          <w:color w:val="1F4E79" w:themeColor="accent1" w:themeShade="80"/>
        </w:rPr>
        <w:t xml:space="preserve"> </w:t>
      </w:r>
      <w:r w:rsidRPr="00AB1FEA">
        <w:rPr>
          <w:rFonts w:ascii="Verdana" w:hAnsi="Verdana"/>
          <w:color w:val="1F4E79" w:themeColor="accent1" w:themeShade="80"/>
        </w:rPr>
        <w:t xml:space="preserve"> 73. </w:t>
      </w:r>
      <w:r w:rsidR="002658EA" w:rsidRPr="00AB1FEA">
        <w:rPr>
          <w:rFonts w:ascii="Verdana" w:hAnsi="Verdana"/>
          <w:color w:val="1F4E79" w:themeColor="accent1" w:themeShade="80"/>
        </w:rPr>
        <w:t>Agregatna ponuda i agregatna potražnja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74. </w:t>
      </w:r>
      <w:r w:rsidR="002658EA" w:rsidRPr="00AB1FEA">
        <w:rPr>
          <w:rFonts w:ascii="Verdana" w:hAnsi="Verdana"/>
          <w:color w:val="1F4E79" w:themeColor="accent1" w:themeShade="80"/>
        </w:rPr>
        <w:t>Investicije i kamate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  75. </w:t>
      </w:r>
      <w:proofErr w:type="spellStart"/>
      <w:r w:rsidR="002658EA" w:rsidRPr="00AB1FEA">
        <w:rPr>
          <w:rFonts w:ascii="Verdana" w:hAnsi="Verdana"/>
          <w:color w:val="1F4E79" w:themeColor="accent1" w:themeShade="80"/>
        </w:rPr>
        <w:t>Potrošnja,štednja</w:t>
      </w:r>
      <w:proofErr w:type="spellEnd"/>
      <w:r w:rsidR="002658EA" w:rsidRPr="00AB1FEA">
        <w:rPr>
          <w:rFonts w:ascii="Verdana" w:hAnsi="Verdana"/>
          <w:color w:val="1F4E79" w:themeColor="accent1" w:themeShade="80"/>
        </w:rPr>
        <w:t xml:space="preserve"> i investicije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76. </w:t>
      </w:r>
      <w:r w:rsidR="002658EA" w:rsidRPr="00AB1FEA">
        <w:rPr>
          <w:rFonts w:ascii="Verdana" w:hAnsi="Verdana"/>
          <w:color w:val="1F4E79" w:themeColor="accent1" w:themeShade="80"/>
        </w:rPr>
        <w:t>Gospodarski rast i razvoj RH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77. </w:t>
      </w:r>
      <w:r w:rsidR="002658EA" w:rsidRPr="00AB1FEA">
        <w:rPr>
          <w:rFonts w:ascii="Verdana" w:hAnsi="Verdana"/>
          <w:color w:val="1F4E79" w:themeColor="accent1" w:themeShade="80"/>
        </w:rPr>
        <w:t>Inflacija kao fenomen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78. </w:t>
      </w:r>
      <w:r w:rsidR="002658EA" w:rsidRPr="00AB1FEA">
        <w:rPr>
          <w:rFonts w:ascii="Verdana" w:hAnsi="Verdana"/>
          <w:color w:val="1F4E79" w:themeColor="accent1" w:themeShade="80"/>
        </w:rPr>
        <w:t>Monetarna politika i njezin utjecaj na gospodarstvo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79. </w:t>
      </w:r>
      <w:r w:rsidR="002658EA" w:rsidRPr="00AB1FEA">
        <w:rPr>
          <w:rFonts w:ascii="Verdana" w:hAnsi="Verdana"/>
          <w:color w:val="1F4E79" w:themeColor="accent1" w:themeShade="80"/>
        </w:rPr>
        <w:t>Nezaposlenost u Šibensko-kninskoj županiji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80. </w:t>
      </w:r>
      <w:r w:rsidR="002658EA" w:rsidRPr="00AB1FEA">
        <w:rPr>
          <w:rFonts w:ascii="Verdana" w:hAnsi="Verdana"/>
          <w:color w:val="1F4E79" w:themeColor="accent1" w:themeShade="80"/>
        </w:rPr>
        <w:t>Bogati i siromašni</w:t>
      </w:r>
    </w:p>
    <w:p w:rsidR="002658EA" w:rsidRPr="00AB1FEA" w:rsidRDefault="001E711A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81. </w:t>
      </w:r>
      <w:r w:rsidR="002658EA" w:rsidRPr="00AB1FEA">
        <w:rPr>
          <w:rFonts w:ascii="Verdana" w:hAnsi="Verdana"/>
          <w:color w:val="1F4E79" w:themeColor="accent1" w:themeShade="80"/>
        </w:rPr>
        <w:t>Državni proračun i proračunska politika</w:t>
      </w:r>
    </w:p>
    <w:p w:rsidR="002658EA" w:rsidRPr="00AB1FEA" w:rsidRDefault="00CF7A15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82. </w:t>
      </w:r>
      <w:proofErr w:type="spellStart"/>
      <w:r w:rsidR="002658EA" w:rsidRPr="00AB1FEA">
        <w:rPr>
          <w:rFonts w:ascii="Verdana" w:hAnsi="Verdana"/>
          <w:color w:val="1F4E79" w:themeColor="accent1" w:themeShade="80"/>
        </w:rPr>
        <w:t>Porezi,porezni</w:t>
      </w:r>
      <w:proofErr w:type="spellEnd"/>
      <w:r w:rsidR="002658EA" w:rsidRPr="00AB1FEA">
        <w:rPr>
          <w:rFonts w:ascii="Verdana" w:hAnsi="Verdana"/>
          <w:color w:val="1F4E79" w:themeColor="accent1" w:themeShade="80"/>
        </w:rPr>
        <w:t xml:space="preserve"> sustav RH</w:t>
      </w:r>
    </w:p>
    <w:p w:rsidR="002658EA" w:rsidRPr="00AB1FEA" w:rsidRDefault="00CF7A15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83. </w:t>
      </w:r>
      <w:r w:rsidR="002658EA" w:rsidRPr="00AB1FEA">
        <w:rPr>
          <w:rFonts w:ascii="Verdana" w:hAnsi="Verdana"/>
          <w:color w:val="1F4E79" w:themeColor="accent1" w:themeShade="80"/>
        </w:rPr>
        <w:t>Nadnice i tržište rada</w:t>
      </w:r>
    </w:p>
    <w:p w:rsidR="002658EA" w:rsidRPr="00AB1FEA" w:rsidRDefault="00CF7A15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84. </w:t>
      </w:r>
      <w:r w:rsidR="002658EA" w:rsidRPr="00AB1FEA">
        <w:rPr>
          <w:rFonts w:ascii="Verdana" w:hAnsi="Verdana"/>
          <w:color w:val="1F4E79" w:themeColor="accent1" w:themeShade="80"/>
        </w:rPr>
        <w:t>Sindikati i kolektivno pregovaranje</w:t>
      </w:r>
    </w:p>
    <w:p w:rsidR="002658EA" w:rsidRPr="00AB1FEA" w:rsidRDefault="00CF7A15" w:rsidP="002658EA">
      <w:pPr>
        <w:spacing w:line="240" w:lineRule="auto"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85. </w:t>
      </w:r>
      <w:r w:rsidR="002658EA" w:rsidRPr="00AB1FEA">
        <w:rPr>
          <w:rFonts w:ascii="Verdana" w:hAnsi="Verdana"/>
          <w:color w:val="1F4E79" w:themeColor="accent1" w:themeShade="80"/>
        </w:rPr>
        <w:t>Globalizacija</w:t>
      </w:r>
    </w:p>
    <w:p w:rsidR="002658EA" w:rsidRPr="00AB1FEA" w:rsidRDefault="002658EA" w:rsidP="002658EA">
      <w:pPr>
        <w:spacing w:line="240" w:lineRule="auto"/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b/>
          <w:color w:val="1F4E79" w:themeColor="accent1" w:themeShade="80"/>
        </w:rPr>
        <w:t>MARKETING  USLUGA</w:t>
      </w:r>
    </w:p>
    <w:p w:rsidR="002658EA" w:rsidRPr="00AB1FEA" w:rsidRDefault="00CF7A15" w:rsidP="002658EA">
      <w:p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86. </w:t>
      </w:r>
      <w:r w:rsidR="002658EA" w:rsidRPr="00AB1FEA">
        <w:rPr>
          <w:rFonts w:ascii="Verdana" w:hAnsi="Verdana"/>
          <w:color w:val="1F4E79" w:themeColor="accent1" w:themeShade="80"/>
        </w:rPr>
        <w:t>Marketing usluga u turizmu (primjer tvrtka “X“)</w:t>
      </w:r>
    </w:p>
    <w:p w:rsidR="002658EA" w:rsidRPr="00AB1FEA" w:rsidRDefault="00CF7A15" w:rsidP="002658EA">
      <w:p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87. </w:t>
      </w:r>
      <w:r w:rsidR="002658EA" w:rsidRPr="00AB1FEA">
        <w:rPr>
          <w:rFonts w:ascii="Verdana" w:hAnsi="Verdana"/>
          <w:color w:val="1F4E79" w:themeColor="accent1" w:themeShade="80"/>
        </w:rPr>
        <w:t>Marketing  usluga u ugostiteljstvu (primjer tvrtka “X“)</w:t>
      </w:r>
    </w:p>
    <w:p w:rsidR="002658EA" w:rsidRPr="00AB1FEA" w:rsidRDefault="00CF7A15" w:rsidP="002658EA">
      <w:pPr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88. </w:t>
      </w:r>
      <w:r w:rsidR="002658EA" w:rsidRPr="00AB1FEA">
        <w:rPr>
          <w:rFonts w:ascii="Verdana" w:hAnsi="Verdana"/>
          <w:color w:val="1F4E79" w:themeColor="accent1" w:themeShade="80"/>
        </w:rPr>
        <w:t>Marketing  usluga  neprofitnih  organizacija</w:t>
      </w:r>
    </w:p>
    <w:p w:rsidR="002658EA" w:rsidRPr="00482158" w:rsidRDefault="00CF7A15" w:rsidP="00482158">
      <w:pPr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89. </w:t>
      </w:r>
      <w:r w:rsidR="002658EA" w:rsidRPr="00AB1FEA">
        <w:rPr>
          <w:rFonts w:ascii="Verdana" w:hAnsi="Verdana"/>
          <w:color w:val="1F4E79" w:themeColor="accent1" w:themeShade="80"/>
        </w:rPr>
        <w:t xml:space="preserve">Marketinški  </w:t>
      </w:r>
      <w:proofErr w:type="spellStart"/>
      <w:r w:rsidR="002658EA" w:rsidRPr="00AB1FEA">
        <w:rPr>
          <w:rFonts w:ascii="Verdana" w:hAnsi="Verdana"/>
          <w:color w:val="1F4E79" w:themeColor="accent1" w:themeShade="80"/>
        </w:rPr>
        <w:t>miks</w:t>
      </w:r>
      <w:proofErr w:type="spellEnd"/>
      <w:r w:rsidR="002658EA" w:rsidRPr="00AB1FEA">
        <w:rPr>
          <w:rFonts w:ascii="Verdana" w:hAnsi="Verdana"/>
          <w:color w:val="1F4E79" w:themeColor="accent1" w:themeShade="80"/>
        </w:rPr>
        <w:t xml:space="preserve"> kod  pružatelja  usluga</w:t>
      </w:r>
      <w:bookmarkStart w:id="0" w:name="_GoBack"/>
      <w:bookmarkEnd w:id="0"/>
    </w:p>
    <w:p w:rsidR="002658EA" w:rsidRPr="00AB1FEA" w:rsidRDefault="002658EA" w:rsidP="002658EA">
      <w:pPr>
        <w:rPr>
          <w:rFonts w:ascii="Verdana" w:hAnsi="Verdana" w:cs="Times New Roman"/>
          <w:b/>
          <w:color w:val="1F4E79" w:themeColor="accent1" w:themeShade="80"/>
        </w:rPr>
      </w:pPr>
      <w:r w:rsidRPr="00AB1FEA">
        <w:rPr>
          <w:rFonts w:ascii="Verdana" w:hAnsi="Verdana"/>
          <w:b/>
          <w:color w:val="1F4E79" w:themeColor="accent1" w:themeShade="80"/>
        </w:rPr>
        <w:t>RA</w:t>
      </w:r>
      <w:r w:rsidRPr="00AB1FEA">
        <w:rPr>
          <w:rFonts w:ascii="Verdana" w:hAnsi="Verdana" w:cs="Times New Roman"/>
          <w:b/>
          <w:color w:val="1F4E79" w:themeColor="accent1" w:themeShade="80"/>
        </w:rPr>
        <w:t xml:space="preserve">ČUNOVODSTVO </w:t>
      </w:r>
    </w:p>
    <w:p w:rsidR="007B68E2" w:rsidRPr="00AB1F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90. </w:t>
      </w:r>
      <w:r w:rsidR="002658EA" w:rsidRPr="00AB1FEA">
        <w:rPr>
          <w:rFonts w:ascii="Verdana" w:hAnsi="Verdana"/>
          <w:color w:val="1F4E79" w:themeColor="accent1" w:themeShade="80"/>
        </w:rPr>
        <w:t>Porez na dodanu vrijednost</w:t>
      </w:r>
    </w:p>
    <w:p w:rsidR="002658EA" w:rsidRPr="00AB1F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91. </w:t>
      </w:r>
      <w:r w:rsidR="002658EA" w:rsidRPr="00AB1FEA">
        <w:rPr>
          <w:rFonts w:ascii="Verdana" w:hAnsi="Verdana"/>
          <w:color w:val="1F4E79" w:themeColor="accent1" w:themeShade="80"/>
        </w:rPr>
        <w:t>Evidencija zaliha kratkotrajne imovine</w:t>
      </w:r>
    </w:p>
    <w:p w:rsidR="002658EA" w:rsidRPr="00AB1F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92. </w:t>
      </w:r>
      <w:r w:rsidR="002658EA" w:rsidRPr="00AB1FEA">
        <w:rPr>
          <w:rFonts w:ascii="Verdana" w:hAnsi="Verdana"/>
          <w:color w:val="1F4E79" w:themeColor="accent1" w:themeShade="80"/>
        </w:rPr>
        <w:t>Prihodi, rashodi i rezultat poslovanja</w:t>
      </w:r>
    </w:p>
    <w:p w:rsidR="002658EA" w:rsidRPr="00AB1F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93. </w:t>
      </w:r>
      <w:r w:rsidR="002658EA" w:rsidRPr="00AB1FEA">
        <w:rPr>
          <w:rFonts w:ascii="Verdana" w:hAnsi="Verdana"/>
          <w:color w:val="1F4E79" w:themeColor="accent1" w:themeShade="80"/>
        </w:rPr>
        <w:t>Vrijednosni papiri- knjigovodstveno praćenje</w:t>
      </w:r>
    </w:p>
    <w:p w:rsidR="002658EA" w:rsidRPr="00AB1F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</w:t>
      </w:r>
      <w:r w:rsidR="002658EA" w:rsidRPr="00AB1FEA">
        <w:rPr>
          <w:rFonts w:ascii="Verdana" w:hAnsi="Verdana"/>
          <w:color w:val="1F4E79" w:themeColor="accent1" w:themeShade="80"/>
        </w:rPr>
        <w:t xml:space="preserve"> </w:t>
      </w:r>
      <w:r w:rsidRPr="00AB1FEA">
        <w:rPr>
          <w:rFonts w:ascii="Verdana" w:hAnsi="Verdana"/>
          <w:color w:val="1F4E79" w:themeColor="accent1" w:themeShade="80"/>
        </w:rPr>
        <w:t xml:space="preserve">94. </w:t>
      </w:r>
      <w:r w:rsidR="002658EA" w:rsidRPr="00AB1FEA">
        <w:rPr>
          <w:rFonts w:ascii="Verdana" w:hAnsi="Verdana"/>
          <w:color w:val="1F4E79" w:themeColor="accent1" w:themeShade="80"/>
        </w:rPr>
        <w:t>Bilanca i bilančne promjene</w:t>
      </w:r>
    </w:p>
    <w:p w:rsidR="002658EA" w:rsidRPr="00AB1F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95. </w:t>
      </w:r>
      <w:r w:rsidR="002658EA" w:rsidRPr="00AB1FEA">
        <w:rPr>
          <w:rFonts w:ascii="Verdana" w:hAnsi="Verdana"/>
          <w:color w:val="1F4E79" w:themeColor="accent1" w:themeShade="80"/>
        </w:rPr>
        <w:t>Platni promet</w:t>
      </w:r>
    </w:p>
    <w:p w:rsidR="002658EA" w:rsidRPr="00AB1F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96. </w:t>
      </w:r>
      <w:r w:rsidR="002658EA" w:rsidRPr="00AB1FEA">
        <w:rPr>
          <w:rFonts w:ascii="Verdana" w:hAnsi="Verdana"/>
          <w:color w:val="1F4E79" w:themeColor="accent1" w:themeShade="80"/>
        </w:rPr>
        <w:t>Troškovi proizvodnje- POL i kalkulacije u proizvodnji</w:t>
      </w:r>
    </w:p>
    <w:p w:rsidR="002658EA" w:rsidRPr="00AB1F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97. </w:t>
      </w:r>
      <w:r w:rsidR="002658EA" w:rsidRPr="00AB1FEA">
        <w:rPr>
          <w:rFonts w:ascii="Verdana" w:hAnsi="Verdana"/>
          <w:color w:val="1F4E79" w:themeColor="accent1" w:themeShade="80"/>
        </w:rPr>
        <w:t>Poslovne knjige poduzetnika</w:t>
      </w:r>
    </w:p>
    <w:p w:rsidR="002658EA" w:rsidRPr="00AB1F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98. </w:t>
      </w:r>
      <w:r w:rsidR="002658EA" w:rsidRPr="00AB1FEA">
        <w:rPr>
          <w:rFonts w:ascii="Verdana" w:hAnsi="Verdana"/>
          <w:color w:val="1F4E79" w:themeColor="accent1" w:themeShade="80"/>
        </w:rPr>
        <w:t>Knjigovodstveno praćenje nabave i prodaje robe u trgovini na veliko</w:t>
      </w:r>
    </w:p>
    <w:p w:rsidR="002658EA" w:rsidRDefault="00CF7A15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 xml:space="preserve">  99. </w:t>
      </w:r>
      <w:r w:rsidR="002658EA" w:rsidRPr="00AB1FEA">
        <w:rPr>
          <w:rFonts w:ascii="Verdana" w:hAnsi="Verdana"/>
          <w:color w:val="1F4E79" w:themeColor="accent1" w:themeShade="80"/>
        </w:rPr>
        <w:t>Knjigovodstveno praćenje nabave i prodaje robe u trgovini na malo</w:t>
      </w:r>
    </w:p>
    <w:p w:rsidR="00482158" w:rsidRPr="00AB1FEA" w:rsidRDefault="00482158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</w:p>
    <w:p w:rsidR="007B68E2" w:rsidRDefault="007B68E2" w:rsidP="007B68E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 w:rsidRPr="007B68E2">
        <w:rPr>
          <w:rFonts w:ascii="Verdana" w:hAnsi="Verdana"/>
          <w:b/>
          <w:color w:val="1F4E79" w:themeColor="accent1" w:themeShade="80"/>
        </w:rPr>
        <w:t>PRAVNO OKRUŽENJE POSLOVANJA</w:t>
      </w:r>
    </w:p>
    <w:p w:rsidR="007B68E2" w:rsidRDefault="007B68E2" w:rsidP="007B68E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 xml:space="preserve">100. </w:t>
      </w:r>
      <w:r w:rsidRPr="007B68E2">
        <w:rPr>
          <w:rFonts w:ascii="Verdana" w:hAnsi="Verdana"/>
          <w:color w:val="1F4E79" w:themeColor="accent1" w:themeShade="80"/>
        </w:rPr>
        <w:t>Ugovor o kupoprodaji nekre</w:t>
      </w:r>
      <w:r>
        <w:rPr>
          <w:rFonts w:ascii="Verdana" w:hAnsi="Verdana"/>
          <w:color w:val="1F4E79" w:themeColor="accent1" w:themeShade="80"/>
        </w:rPr>
        <w:t>tnina uz dozvolu prava uknjižbe</w:t>
      </w:r>
      <w:r w:rsidRPr="007B68E2">
        <w:rPr>
          <w:rFonts w:ascii="Verdana" w:hAnsi="Verdana"/>
          <w:color w:val="1F4E79" w:themeColor="accent1" w:themeShade="80"/>
        </w:rPr>
        <w:t>(</w:t>
      </w:r>
      <w:proofErr w:type="spellStart"/>
      <w:r w:rsidRPr="007B68E2">
        <w:rPr>
          <w:rFonts w:ascii="Verdana" w:hAnsi="Verdana"/>
          <w:color w:val="1F4E79" w:themeColor="accent1" w:themeShade="80"/>
        </w:rPr>
        <w:t>clausula</w:t>
      </w:r>
      <w:proofErr w:type="spellEnd"/>
      <w:r w:rsidRPr="007B68E2">
        <w:rPr>
          <w:rFonts w:ascii="Verdana" w:hAnsi="Verdana"/>
          <w:color w:val="1F4E79" w:themeColor="accent1" w:themeShade="80"/>
        </w:rPr>
        <w:t xml:space="preserve"> </w:t>
      </w:r>
      <w:proofErr w:type="spellStart"/>
      <w:r w:rsidRPr="007B68E2">
        <w:rPr>
          <w:rFonts w:ascii="Verdana" w:hAnsi="Verdana"/>
          <w:color w:val="1F4E79" w:themeColor="accent1" w:themeShade="80"/>
        </w:rPr>
        <w:t>intabulandi</w:t>
      </w:r>
      <w:proofErr w:type="spellEnd"/>
      <w:r w:rsidRPr="007B68E2">
        <w:rPr>
          <w:rFonts w:ascii="Verdana" w:hAnsi="Verdana"/>
          <w:color w:val="1F4E79" w:themeColor="accent1" w:themeShade="80"/>
        </w:rPr>
        <w:t>)- Zemljiš</w:t>
      </w:r>
      <w:r>
        <w:rPr>
          <w:rFonts w:ascii="Verdana" w:hAnsi="Verdana"/>
          <w:color w:val="1F4E79" w:themeColor="accent1" w:themeShade="80"/>
        </w:rPr>
        <w:t>no knjižni odjel Općinskog suda</w:t>
      </w:r>
    </w:p>
    <w:p w:rsidR="007B68E2" w:rsidRPr="007B68E2" w:rsidRDefault="007B68E2" w:rsidP="007B68E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>101.</w:t>
      </w:r>
      <w:r w:rsidRPr="007B68E2">
        <w:rPr>
          <w:rFonts w:ascii="Verdana" w:hAnsi="Verdana"/>
          <w:color w:val="1F4E79" w:themeColor="accent1" w:themeShade="80"/>
        </w:rPr>
        <w:t xml:space="preserve">Ugovor o </w:t>
      </w:r>
      <w:proofErr w:type="spellStart"/>
      <w:r w:rsidRPr="007B68E2">
        <w:rPr>
          <w:rFonts w:ascii="Verdana" w:hAnsi="Verdana"/>
          <w:color w:val="1F4E79" w:themeColor="accent1" w:themeShade="80"/>
        </w:rPr>
        <w:t>dosmrtnom</w:t>
      </w:r>
      <w:proofErr w:type="spellEnd"/>
      <w:r w:rsidRPr="007B68E2">
        <w:rPr>
          <w:rFonts w:ascii="Verdana" w:hAnsi="Verdana"/>
          <w:color w:val="1F4E79" w:themeColor="accent1" w:themeShade="80"/>
        </w:rPr>
        <w:t xml:space="preserve"> uzdržavanju- upis ugovora u Zemljišnu knjigu </w:t>
      </w:r>
      <w:r>
        <w:rPr>
          <w:rFonts w:ascii="Verdana" w:hAnsi="Verdana"/>
          <w:color w:val="1F4E79" w:themeColor="accent1" w:themeShade="80"/>
        </w:rPr>
        <w:t xml:space="preserve"> </w:t>
      </w:r>
      <w:r w:rsidRPr="007B68E2">
        <w:rPr>
          <w:rFonts w:ascii="Verdana" w:hAnsi="Verdana"/>
          <w:color w:val="1F4E79" w:themeColor="accent1" w:themeShade="80"/>
        </w:rPr>
        <w:t>Zemljišno knjižni odjel Općinskog suda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lastRenderedPageBreak/>
        <w:t xml:space="preserve">102. </w:t>
      </w:r>
      <w:r w:rsidRPr="007B68E2">
        <w:rPr>
          <w:rFonts w:ascii="Verdana" w:hAnsi="Verdana"/>
          <w:color w:val="1F4E79" w:themeColor="accent1" w:themeShade="80"/>
        </w:rPr>
        <w:t>Ugovor o osiguranju života- Osiguravajuće društvo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 xml:space="preserve">103. </w:t>
      </w:r>
      <w:r w:rsidRPr="007B68E2">
        <w:rPr>
          <w:rFonts w:ascii="Verdana" w:hAnsi="Verdana"/>
          <w:color w:val="1F4E79" w:themeColor="accent1" w:themeShade="80"/>
        </w:rPr>
        <w:t>Ugovor o darovanju nekretnina – Upis ugovora u Zemljišnu knjigu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ind w:left="720" w:hanging="360"/>
        <w:rPr>
          <w:rFonts w:ascii="Verdana" w:hAnsi="Verdana"/>
          <w:color w:val="1F4E79" w:themeColor="accent1" w:themeShade="80"/>
        </w:rPr>
      </w:pPr>
      <w:r w:rsidRPr="007B68E2">
        <w:rPr>
          <w:rFonts w:ascii="Verdana" w:hAnsi="Verdana"/>
          <w:color w:val="1F4E79" w:themeColor="accent1" w:themeShade="80"/>
        </w:rPr>
        <w:t xml:space="preserve">     Zemljišno knjižni odjel Općinskog suda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 xml:space="preserve">104. </w:t>
      </w:r>
      <w:r w:rsidRPr="007B68E2">
        <w:rPr>
          <w:rFonts w:ascii="Verdana" w:hAnsi="Verdana"/>
          <w:color w:val="1F4E79" w:themeColor="accent1" w:themeShade="80"/>
        </w:rPr>
        <w:t>Ugovor o osiguranju od nesretnog slučaja- osiguravajuće društvo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 xml:space="preserve">105. </w:t>
      </w:r>
      <w:r w:rsidRPr="007B68E2">
        <w:rPr>
          <w:rFonts w:ascii="Verdana" w:hAnsi="Verdana"/>
          <w:color w:val="1F4E79" w:themeColor="accent1" w:themeShade="80"/>
        </w:rPr>
        <w:t>Ugovor o založnom (hipotekarnom) kreditu - banke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 xml:space="preserve">106. </w:t>
      </w:r>
      <w:r w:rsidRPr="007B68E2">
        <w:rPr>
          <w:rFonts w:ascii="Verdana" w:hAnsi="Verdana"/>
          <w:color w:val="1F4E79" w:themeColor="accent1" w:themeShade="80"/>
        </w:rPr>
        <w:t>Upis vlasništva nad nekretninama u zemljišnu knjigu-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ind w:left="720" w:hanging="360"/>
        <w:rPr>
          <w:rFonts w:ascii="Verdana" w:hAnsi="Verdana"/>
          <w:color w:val="1F4E79" w:themeColor="accent1" w:themeShade="80"/>
        </w:rPr>
      </w:pPr>
      <w:r w:rsidRPr="007B68E2">
        <w:rPr>
          <w:rFonts w:ascii="Verdana" w:hAnsi="Verdana"/>
          <w:color w:val="1F4E79" w:themeColor="accent1" w:themeShade="80"/>
        </w:rPr>
        <w:t xml:space="preserve">      Zemljišno knjižni odjel Općinskog suda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>107</w:t>
      </w:r>
      <w:r w:rsidRPr="007B68E2">
        <w:rPr>
          <w:rFonts w:ascii="Verdana" w:hAnsi="Verdana"/>
          <w:color w:val="1F4E79" w:themeColor="accent1" w:themeShade="80"/>
        </w:rPr>
        <w:t>.</w:t>
      </w:r>
      <w:r>
        <w:rPr>
          <w:rFonts w:ascii="Verdana" w:hAnsi="Verdana"/>
          <w:color w:val="1F4E79" w:themeColor="accent1" w:themeShade="80"/>
        </w:rPr>
        <w:t xml:space="preserve"> </w:t>
      </w:r>
      <w:r w:rsidRPr="007B68E2">
        <w:rPr>
          <w:rFonts w:ascii="Verdana" w:hAnsi="Verdana"/>
          <w:color w:val="1F4E79" w:themeColor="accent1" w:themeShade="80"/>
        </w:rPr>
        <w:t>Upis i brisanje hipoteke u zemljišnoj knjizi- Zemljišno knjižni odjel Općinskog suda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 xml:space="preserve">108. </w:t>
      </w:r>
      <w:r w:rsidRPr="007B68E2">
        <w:rPr>
          <w:rFonts w:ascii="Verdana" w:hAnsi="Verdana"/>
          <w:color w:val="1F4E79" w:themeColor="accent1" w:themeShade="80"/>
        </w:rPr>
        <w:t>Ugovor za osiguranje od automobilske odgovornosti-Osiguravajuće društvo</w:t>
      </w:r>
    </w:p>
    <w:p w:rsidR="007B68E2" w:rsidRPr="007B68E2" w:rsidRDefault="007B68E2" w:rsidP="007B68E2">
      <w:pPr>
        <w:tabs>
          <w:tab w:val="left" w:pos="720"/>
        </w:tabs>
        <w:spacing w:line="360" w:lineRule="auto"/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 xml:space="preserve">110. </w:t>
      </w:r>
      <w:r w:rsidRPr="007B68E2">
        <w:rPr>
          <w:rFonts w:ascii="Verdana" w:hAnsi="Verdana"/>
          <w:color w:val="1F4E79" w:themeColor="accent1" w:themeShade="80"/>
        </w:rPr>
        <w:t>Rješenje o nasljeđivanju (zakonsko nasljeđivanje)</w:t>
      </w:r>
    </w:p>
    <w:p w:rsidR="000532F3" w:rsidRDefault="000532F3" w:rsidP="00CF7A15">
      <w:pPr>
        <w:spacing w:after="200" w:line="276" w:lineRule="auto"/>
        <w:contextualSpacing/>
        <w:rPr>
          <w:rFonts w:ascii="Verdana" w:hAnsi="Verdana"/>
          <w:color w:val="0000FF"/>
        </w:rPr>
      </w:pPr>
    </w:p>
    <w:p w:rsidR="007B68E2" w:rsidRPr="00AB1FEA" w:rsidRDefault="007B68E2" w:rsidP="00CF7A15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</w:p>
    <w:p w:rsidR="000532F3" w:rsidRPr="00AB1FEA" w:rsidRDefault="000532F3" w:rsidP="00CF7A15">
      <w:pPr>
        <w:spacing w:after="200" w:line="276" w:lineRule="auto"/>
        <w:contextualSpacing/>
        <w:rPr>
          <w:rFonts w:ascii="Verdana" w:hAnsi="Verdana"/>
          <w:b/>
          <w:color w:val="1F4E79" w:themeColor="accent1" w:themeShade="80"/>
        </w:rPr>
      </w:pPr>
      <w:r w:rsidRPr="00AB1FEA">
        <w:rPr>
          <w:rFonts w:ascii="Verdana" w:hAnsi="Verdana"/>
          <w:color w:val="1F4E79" w:themeColor="accent1" w:themeShade="80"/>
        </w:rPr>
        <w:tab/>
      </w:r>
      <w:r w:rsidRPr="00AB1FEA">
        <w:rPr>
          <w:rFonts w:ascii="Verdana" w:hAnsi="Verdana"/>
          <w:color w:val="1F4E79" w:themeColor="accent1" w:themeShade="80"/>
        </w:rPr>
        <w:tab/>
      </w:r>
      <w:r w:rsidRPr="00AB1FEA">
        <w:rPr>
          <w:rFonts w:ascii="Verdana" w:hAnsi="Verdana"/>
          <w:color w:val="1F4E79" w:themeColor="accent1" w:themeShade="80"/>
        </w:rPr>
        <w:tab/>
      </w:r>
      <w:r w:rsidRPr="00AB1FEA">
        <w:rPr>
          <w:rFonts w:ascii="Verdana" w:hAnsi="Verdana"/>
          <w:color w:val="1F4E79" w:themeColor="accent1" w:themeShade="80"/>
        </w:rPr>
        <w:tab/>
      </w:r>
      <w:r w:rsidRPr="00AB1FEA">
        <w:rPr>
          <w:rFonts w:ascii="Verdana" w:hAnsi="Verdana"/>
          <w:color w:val="1F4E79" w:themeColor="accent1" w:themeShade="80"/>
        </w:rPr>
        <w:tab/>
      </w:r>
      <w:r w:rsidRPr="00AB1FEA">
        <w:rPr>
          <w:rFonts w:ascii="Verdana" w:hAnsi="Verdana"/>
          <w:color w:val="1F4E79" w:themeColor="accent1" w:themeShade="80"/>
        </w:rPr>
        <w:tab/>
      </w:r>
      <w:r w:rsidRPr="00AB1FEA">
        <w:rPr>
          <w:rFonts w:ascii="Verdana" w:hAnsi="Verdana"/>
          <w:color w:val="1F4E79" w:themeColor="accent1" w:themeShade="80"/>
        </w:rPr>
        <w:tab/>
      </w:r>
      <w:r w:rsidRPr="00AB1FEA">
        <w:rPr>
          <w:rFonts w:ascii="Verdana" w:hAnsi="Verdana"/>
          <w:color w:val="1F4E79" w:themeColor="accent1" w:themeShade="80"/>
        </w:rPr>
        <w:tab/>
      </w:r>
      <w:r w:rsidRPr="00AB1FEA">
        <w:rPr>
          <w:rFonts w:ascii="Verdana" w:hAnsi="Verdana"/>
          <w:b/>
          <w:color w:val="1F4E79" w:themeColor="accent1" w:themeShade="80"/>
        </w:rPr>
        <w:t xml:space="preserve">  Ravnatelj</w:t>
      </w:r>
    </w:p>
    <w:p w:rsidR="002658EA" w:rsidRPr="00AB1FEA" w:rsidRDefault="000532F3" w:rsidP="00A03D01">
      <w:pPr>
        <w:spacing w:after="200" w:line="276" w:lineRule="auto"/>
        <w:contextualSpacing/>
        <w:rPr>
          <w:rFonts w:ascii="Verdana" w:hAnsi="Verdana"/>
          <w:color w:val="1F4E79" w:themeColor="accent1" w:themeShade="80"/>
        </w:rPr>
      </w:pPr>
      <w:r w:rsidRPr="00AB1FEA">
        <w:rPr>
          <w:rFonts w:ascii="Verdana" w:hAnsi="Verdana"/>
          <w:b/>
          <w:color w:val="1F4E79" w:themeColor="accent1" w:themeShade="80"/>
        </w:rPr>
        <w:tab/>
      </w:r>
      <w:r w:rsidRPr="00AB1FEA">
        <w:rPr>
          <w:rFonts w:ascii="Verdana" w:hAnsi="Verdana"/>
          <w:b/>
          <w:color w:val="1F4E79" w:themeColor="accent1" w:themeShade="80"/>
        </w:rPr>
        <w:tab/>
      </w:r>
      <w:r w:rsidRPr="00AB1FEA">
        <w:rPr>
          <w:rFonts w:ascii="Verdana" w:hAnsi="Verdana"/>
          <w:b/>
          <w:color w:val="1F4E79" w:themeColor="accent1" w:themeShade="80"/>
        </w:rPr>
        <w:tab/>
      </w:r>
      <w:r w:rsidRPr="00AB1FEA">
        <w:rPr>
          <w:rFonts w:ascii="Verdana" w:hAnsi="Verdana"/>
          <w:b/>
          <w:color w:val="1F4E79" w:themeColor="accent1" w:themeShade="80"/>
        </w:rPr>
        <w:tab/>
      </w:r>
      <w:r w:rsidRPr="00AB1FEA">
        <w:rPr>
          <w:rFonts w:ascii="Verdana" w:hAnsi="Verdana"/>
          <w:b/>
          <w:color w:val="1F4E79" w:themeColor="accent1" w:themeShade="80"/>
        </w:rPr>
        <w:tab/>
      </w:r>
      <w:r w:rsidRPr="00AB1FEA">
        <w:rPr>
          <w:rFonts w:ascii="Verdana" w:hAnsi="Verdana"/>
          <w:b/>
          <w:color w:val="1F4E79" w:themeColor="accent1" w:themeShade="80"/>
        </w:rPr>
        <w:tab/>
      </w:r>
      <w:r w:rsidRPr="00AB1FEA">
        <w:rPr>
          <w:rFonts w:ascii="Verdana" w:hAnsi="Verdana"/>
          <w:b/>
          <w:color w:val="1F4E79" w:themeColor="accent1" w:themeShade="80"/>
        </w:rPr>
        <w:tab/>
        <w:t>Igor Friedrich, dipl. teolog</w:t>
      </w:r>
    </w:p>
    <w:sectPr w:rsidR="002658EA" w:rsidRPr="00AB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27D"/>
    <w:multiLevelType w:val="hybridMultilevel"/>
    <w:tmpl w:val="DD4C3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56AD"/>
    <w:multiLevelType w:val="hybridMultilevel"/>
    <w:tmpl w:val="D130C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722"/>
    <w:multiLevelType w:val="hybridMultilevel"/>
    <w:tmpl w:val="DA9E6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C15CB"/>
    <w:multiLevelType w:val="multilevel"/>
    <w:tmpl w:val="7C28B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F7D42"/>
    <w:multiLevelType w:val="hybridMultilevel"/>
    <w:tmpl w:val="60FC2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2401"/>
    <w:multiLevelType w:val="hybridMultilevel"/>
    <w:tmpl w:val="129E7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EA"/>
    <w:rsid w:val="000532F3"/>
    <w:rsid w:val="001E711A"/>
    <w:rsid w:val="00203E44"/>
    <w:rsid w:val="002658EA"/>
    <w:rsid w:val="00482158"/>
    <w:rsid w:val="007B68E2"/>
    <w:rsid w:val="00A03D01"/>
    <w:rsid w:val="00A92D52"/>
    <w:rsid w:val="00AB1FEA"/>
    <w:rsid w:val="00AF2F97"/>
    <w:rsid w:val="00C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4FAE-0990-4A51-9F13-0D55DA59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8EA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2016-10-17T15:52:00Z</cp:lastPrinted>
  <dcterms:created xsi:type="dcterms:W3CDTF">2016-10-14T09:55:00Z</dcterms:created>
  <dcterms:modified xsi:type="dcterms:W3CDTF">2016-10-17T15:52:00Z</dcterms:modified>
</cp:coreProperties>
</file>