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F" w:rsidRPr="006529A4" w:rsidRDefault="008F241F" w:rsidP="008F241F">
      <w:pPr>
        <w:rPr>
          <w:rFonts w:ascii="Verdana" w:hAnsi="Verdana"/>
          <w:b/>
          <w:color w:val="C00000"/>
          <w:sz w:val="20"/>
          <w:szCs w:val="20"/>
        </w:rPr>
      </w:pPr>
      <w:r w:rsidRPr="006529A4">
        <w:rPr>
          <w:rFonts w:ascii="Verdana" w:hAnsi="Verdana"/>
          <w:b/>
          <w:color w:val="C00000"/>
          <w:sz w:val="20"/>
          <w:szCs w:val="20"/>
        </w:rPr>
        <w:t>EKONOMSKA ŠKOLA ŠIBENIK</w:t>
      </w:r>
    </w:p>
    <w:p w:rsidR="008F241F" w:rsidRPr="006529A4" w:rsidRDefault="008F241F" w:rsidP="008F241F">
      <w:pPr>
        <w:rPr>
          <w:rFonts w:ascii="Verdana" w:hAnsi="Verdana"/>
          <w:b/>
          <w:color w:val="C00000"/>
          <w:sz w:val="20"/>
          <w:szCs w:val="20"/>
        </w:rPr>
      </w:pPr>
      <w:r w:rsidRPr="006529A4">
        <w:rPr>
          <w:rFonts w:ascii="Verdana" w:hAnsi="Verdana"/>
          <w:b/>
          <w:color w:val="C00000"/>
          <w:sz w:val="20"/>
          <w:szCs w:val="20"/>
        </w:rPr>
        <w:tab/>
        <w:t xml:space="preserve">  Š I B E N I K </w:t>
      </w:r>
    </w:p>
    <w:p w:rsidR="008F241F" w:rsidRPr="006529A4" w:rsidRDefault="008F241F" w:rsidP="008F241F">
      <w:pPr>
        <w:rPr>
          <w:rFonts w:ascii="Verdana" w:hAnsi="Verdana"/>
          <w:color w:val="C00000"/>
          <w:sz w:val="20"/>
          <w:szCs w:val="20"/>
        </w:rPr>
      </w:pPr>
    </w:p>
    <w:p w:rsidR="008F241F" w:rsidRPr="006529A4" w:rsidRDefault="008F241F" w:rsidP="008F241F">
      <w:pPr>
        <w:jc w:val="center"/>
        <w:rPr>
          <w:rFonts w:ascii="Verdana" w:hAnsi="Verdana"/>
          <w:b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b/>
          <w:color w:val="385623" w:themeColor="accent6" w:themeShade="80"/>
          <w:sz w:val="20"/>
          <w:szCs w:val="20"/>
        </w:rPr>
        <w:t xml:space="preserve">TEME ZA IZRADU ZAVRŠNOG RADA </w:t>
      </w:r>
      <w:proofErr w:type="spellStart"/>
      <w:r w:rsidRPr="006529A4">
        <w:rPr>
          <w:rFonts w:ascii="Verdana" w:hAnsi="Verdana"/>
          <w:b/>
          <w:color w:val="385623" w:themeColor="accent6" w:themeShade="80"/>
          <w:sz w:val="20"/>
          <w:szCs w:val="20"/>
        </w:rPr>
        <w:t>šk.god</w:t>
      </w:r>
      <w:proofErr w:type="spellEnd"/>
      <w:r w:rsidRPr="006529A4">
        <w:rPr>
          <w:rFonts w:ascii="Verdana" w:hAnsi="Verdana"/>
          <w:b/>
          <w:color w:val="385623" w:themeColor="accent6" w:themeShade="80"/>
          <w:sz w:val="20"/>
          <w:szCs w:val="20"/>
        </w:rPr>
        <w:t>. 2017.2018.</w:t>
      </w:r>
    </w:p>
    <w:p w:rsidR="008F241F" w:rsidRPr="006529A4" w:rsidRDefault="008F241F" w:rsidP="008F241F">
      <w:pPr>
        <w:jc w:val="center"/>
        <w:rPr>
          <w:rFonts w:ascii="Verdana" w:hAnsi="Verdana"/>
          <w:b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b/>
          <w:color w:val="385623" w:themeColor="accent6" w:themeShade="80"/>
          <w:sz w:val="20"/>
          <w:szCs w:val="20"/>
        </w:rPr>
        <w:t>OBRAZOVNI PROFIL: KOMERCIJALIST</w:t>
      </w:r>
    </w:p>
    <w:p w:rsidR="008F241F" w:rsidRPr="006529A4" w:rsidRDefault="008F241F" w:rsidP="008F241F">
      <w:pPr>
        <w:jc w:val="center"/>
        <w:rPr>
          <w:rFonts w:ascii="Verdana" w:hAnsi="Verdana"/>
          <w:color w:val="385623" w:themeColor="accent6" w:themeShade="80"/>
          <w:sz w:val="20"/>
          <w:szCs w:val="20"/>
        </w:rPr>
      </w:pPr>
    </w:p>
    <w:p w:rsidR="008F241F" w:rsidRPr="006529A4" w:rsidRDefault="008F241F" w:rsidP="008F241F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TEHNIKA VANJSKOTRGOVINSKOG POSLOVANJA</w:t>
      </w:r>
    </w:p>
    <w:p w:rsidR="001B1500" w:rsidRPr="006529A4" w:rsidRDefault="008F241F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1. Značenje vanjske trgovine u gospodarstvu RH</w:t>
      </w:r>
    </w:p>
    <w:p w:rsidR="008F241F" w:rsidRPr="006529A4" w:rsidRDefault="008F241F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2. Šibensko-kninska županija u vanjskotrgovinskoj razmjeni</w:t>
      </w:r>
    </w:p>
    <w:p w:rsidR="008F241F" w:rsidRPr="006529A4" w:rsidRDefault="008F241F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3. </w:t>
      </w:r>
      <w:r w:rsidR="00AB00D3" w:rsidRPr="006529A4">
        <w:rPr>
          <w:rFonts w:ascii="Verdana" w:hAnsi="Verdana"/>
          <w:color w:val="385623" w:themeColor="accent6" w:themeShade="80"/>
          <w:sz w:val="20"/>
          <w:szCs w:val="20"/>
        </w:rPr>
        <w:t>MESAP – ULOGA I ZNAČAJ ORGANIZIRANOG TRŽIŠTA</w:t>
      </w:r>
    </w:p>
    <w:p w:rsidR="00AB00D3" w:rsidRPr="006529A4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4. Sajmovi i</w:t>
      </w:r>
      <w:r w:rsidR="002B5046">
        <w:rPr>
          <w:rFonts w:ascii="Verdana" w:hAnsi="Verdana"/>
          <w:color w:val="385623" w:themeColor="accent6" w:themeShade="80"/>
          <w:sz w:val="20"/>
          <w:szCs w:val="20"/>
        </w:rPr>
        <w:t xml:space="preserve"> velesajmovi, primjer Zagrebačkog</w:t>
      </w: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velesajam</w:t>
      </w:r>
    </w:p>
    <w:p w:rsidR="00AB00D3" w:rsidRPr="006529A4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5. Vanjskotrgovinski posrednici – primjer posredništva u trgovini ribom</w:t>
      </w:r>
    </w:p>
    <w:p w:rsidR="002B5046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6. Vanjskotrgovinska poduzeća za direktan izvoz/uvoz – primjer tvrtke „x“ za izvoz/uvoz </w:t>
      </w:r>
    </w:p>
    <w:p w:rsidR="00AB00D3" w:rsidRPr="006529A4" w:rsidRDefault="002B5046" w:rsidP="002B5046">
      <w:pPr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 xml:space="preserve">     </w:t>
      </w:r>
      <w:r w:rsidR="00AB00D3" w:rsidRPr="006529A4">
        <w:rPr>
          <w:rFonts w:ascii="Verdana" w:hAnsi="Verdana"/>
          <w:color w:val="385623" w:themeColor="accent6" w:themeShade="80"/>
          <w:sz w:val="20"/>
          <w:szCs w:val="20"/>
        </w:rPr>
        <w:t>iz Šibensko-kninske županije</w:t>
      </w:r>
    </w:p>
    <w:p w:rsidR="00AB00D3" w:rsidRPr="006529A4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7. Poslovna kultura i poslovno komuniciranje s inozemstvom</w:t>
      </w:r>
    </w:p>
    <w:p w:rsidR="00AB00D3" w:rsidRPr="006529A4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8. </w:t>
      </w:r>
      <w:proofErr w:type="spellStart"/>
      <w:r w:rsidRPr="006529A4">
        <w:rPr>
          <w:rFonts w:ascii="Verdana" w:hAnsi="Verdana"/>
          <w:color w:val="385623" w:themeColor="accent6" w:themeShade="80"/>
          <w:sz w:val="20"/>
          <w:szCs w:val="20"/>
        </w:rPr>
        <w:t>Leasing</w:t>
      </w:r>
      <w:proofErr w:type="spellEnd"/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u hrvatskoj gospodarskoj praksi</w:t>
      </w:r>
    </w:p>
    <w:p w:rsidR="00AB00D3" w:rsidRPr="006529A4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TRGOVINSKO POSLOVANJE</w:t>
      </w:r>
    </w:p>
    <w:p w:rsidR="00AB00D3" w:rsidRPr="006529A4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 9. Prodaja – primjer tvrtke u Šibensko-kninskoj županiji</w:t>
      </w:r>
    </w:p>
    <w:p w:rsidR="00AB00D3" w:rsidRPr="006529A4" w:rsidRDefault="00AB00D3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10. </w:t>
      </w:r>
      <w:r w:rsidR="002E1AC1" w:rsidRPr="006529A4">
        <w:rPr>
          <w:rFonts w:ascii="Verdana" w:hAnsi="Verdana"/>
          <w:color w:val="385623" w:themeColor="accent6" w:themeShade="80"/>
          <w:sz w:val="20"/>
          <w:szCs w:val="20"/>
        </w:rPr>
        <w:t>Organizacija poslovnog subjekta – primjer tvrtke u Šibensko-kninskoj županiji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11. Opskrba robom i priprema prodaje u prodavaonici – primjer iz prodajnog subjekta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12. Upravljanje zalihama – primjer poslovanja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13. Manipulacija robom – pakiranje i ambalaža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14. Pokazatelji uspješnosti poslovanja – primjer tvrtke iz Šibensko-kninske županije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15. Prodaja robe na veliko – primjer tvrtke iz Šibensko-kninske županije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16. Istraživanje tržišta nabave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17. Skladišno poslovanje – primjer trgovačkog subjekta</w:t>
      </w: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18. Ugovor o kupnji i prodaji robe – analiza primjera ugovora</w:t>
      </w:r>
    </w:p>
    <w:p w:rsidR="002E1AC1" w:rsidRPr="006529A4" w:rsidRDefault="00F64B39" w:rsidP="002E1AC1">
      <w:pPr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>PODUZETNIŠTVO</w:t>
      </w: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19.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Utemeljenje poduzetničkog pothvata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20.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Financiranje poduzetničkog pothvata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21.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Inovacije - izazov za poduzetnički pothvat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22. </w:t>
      </w:r>
      <w:proofErr w:type="spellStart"/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Leasing</w:t>
      </w:r>
      <w:proofErr w:type="spellEnd"/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kao oblik financiranja poduzetnika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23. </w:t>
      </w:r>
      <w:proofErr w:type="spellStart"/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Franchising</w:t>
      </w:r>
      <w:proofErr w:type="spellEnd"/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kao oblik poduzetničkog djelovanja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FA054D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lastRenderedPageBreak/>
        <w:t xml:space="preserve">24.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Statičke i dinamičke metode ocjene opravdanosti ulaganja u poduzetnički pothvat </w:t>
      </w:r>
    </w:p>
    <w:p w:rsidR="002E1AC1" w:rsidRPr="006529A4" w:rsidRDefault="002E1AC1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</w:t>
      </w: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25.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Menadžment ljudskih potencijala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26.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Institucijska potpora poduzetništvu u RH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27.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Institucijska potpora poduzetništvu u Šibensko-kninskoj županiji</w:t>
      </w:r>
    </w:p>
    <w:p w:rsidR="006529A4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pacing w:after="0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28.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>Državne potpore i poticaji poduzetništvu u RH</w:t>
      </w:r>
    </w:p>
    <w:p w:rsidR="002E1AC1" w:rsidRPr="006529A4" w:rsidRDefault="002E1AC1" w:rsidP="002E1AC1">
      <w:pPr>
        <w:pStyle w:val="Odlomakpopisa"/>
        <w:rPr>
          <w:rFonts w:ascii="Verdana" w:hAnsi="Verdana"/>
          <w:color w:val="385623" w:themeColor="accent6" w:themeShade="80"/>
          <w:sz w:val="20"/>
          <w:szCs w:val="20"/>
        </w:rPr>
      </w:pP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MARKETING </w:t>
      </w:r>
      <w:r w:rsidR="002E1AC1" w:rsidRPr="006529A4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</w:t>
      </w:r>
    </w:p>
    <w:p w:rsidR="006529A4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29. Globalni marketing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30.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Ekološki aspekt marketinga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31.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Marketing neprofitnih djelatnosti 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32.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Zaštita potrošača u RH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33.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Marketinška strategija grada Šibenika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34.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Marketing u kozmetičkoj industriji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35.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Etika u marketingu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36.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Međunarodni marketing 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37.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Politika promocijskih aktivnosti</w:t>
      </w:r>
    </w:p>
    <w:p w:rsidR="002E1AC1" w:rsidRPr="006529A4" w:rsidRDefault="006529A4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 xml:space="preserve">38. </w:t>
      </w:r>
      <w:r w:rsidR="002E1AC1"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Ponašanje potrošača</w:t>
      </w:r>
    </w:p>
    <w:p w:rsidR="00F64B39" w:rsidRPr="006529A4" w:rsidRDefault="00F64B39" w:rsidP="006529A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</w:pPr>
      <w:r w:rsidRPr="006529A4">
        <w:rPr>
          <w:rStyle w:val="apple-style-span"/>
          <w:rFonts w:ascii="Verdana" w:hAnsi="Verdana" w:cs="Times New Roman"/>
          <w:color w:val="385623" w:themeColor="accent6" w:themeShade="80"/>
          <w:sz w:val="20"/>
          <w:szCs w:val="20"/>
        </w:rPr>
        <w:t>TRANSPORT, ŠPEDICIJA I OSIGURANJE</w:t>
      </w: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39.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Suvremeni prijevoz u RH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40.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VIP telekomunikacijske usluge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41.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Špeditersko poslovanje na primjeru tvrtke x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42.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Osiguravajuće društvo x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43.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Cestovni prijevoz na primjeru tvrtke x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44.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Taxi služba x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45.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Pomorski prijevoz na primjeru x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lastRenderedPageBreak/>
        <w:t xml:space="preserve">46.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Poslovanje marina na primjeru x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47.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Luka Šibenik</w:t>
      </w:r>
    </w:p>
    <w:p w:rsidR="006529A4" w:rsidRPr="006529A4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</w:p>
    <w:p w:rsidR="00F64B39" w:rsidRDefault="006529A4" w:rsidP="006529A4">
      <w:pPr>
        <w:contextualSpacing/>
        <w:rPr>
          <w:rFonts w:ascii="Verdana" w:hAnsi="Verdana"/>
          <w:color w:val="385623" w:themeColor="accent6" w:themeShade="80"/>
          <w:sz w:val="20"/>
          <w:szCs w:val="20"/>
        </w:rPr>
      </w:pPr>
      <w:r w:rsidRPr="006529A4">
        <w:rPr>
          <w:rFonts w:ascii="Verdana" w:hAnsi="Verdana"/>
          <w:color w:val="385623" w:themeColor="accent6" w:themeShade="80"/>
          <w:sz w:val="20"/>
          <w:szCs w:val="20"/>
        </w:rPr>
        <w:t xml:space="preserve">48. </w:t>
      </w:r>
      <w:r w:rsidR="00F64B39" w:rsidRPr="006529A4">
        <w:rPr>
          <w:rFonts w:ascii="Verdana" w:hAnsi="Verdana"/>
          <w:color w:val="385623" w:themeColor="accent6" w:themeShade="80"/>
          <w:sz w:val="20"/>
          <w:szCs w:val="20"/>
        </w:rPr>
        <w:t>Željeznički promet na primjeru x</w:t>
      </w:r>
    </w:p>
    <w:p w:rsidR="008700A8" w:rsidRPr="009A23A4" w:rsidRDefault="008700A8" w:rsidP="00322BE6">
      <w:pPr>
        <w:pStyle w:val="Default"/>
        <w:rPr>
          <w:rFonts w:ascii="Verdana" w:hAnsi="Verdana" w:cs="Times New Roman"/>
          <w:bCs/>
          <w:color w:val="385623" w:themeColor="accent6" w:themeShade="80"/>
          <w:sz w:val="20"/>
          <w:szCs w:val="20"/>
        </w:rPr>
      </w:pPr>
      <w:r w:rsidRPr="009A23A4">
        <w:rPr>
          <w:rFonts w:ascii="Verdana" w:hAnsi="Verdana" w:cs="Times New Roman"/>
          <w:bCs/>
          <w:color w:val="385623" w:themeColor="accent6" w:themeShade="80"/>
          <w:sz w:val="20"/>
          <w:szCs w:val="20"/>
        </w:rPr>
        <w:t>TEHNIKA VANJSKOTRGOVINSKOG POSLOVANJA</w:t>
      </w:r>
    </w:p>
    <w:p w:rsidR="008700A8" w:rsidRPr="009A23A4" w:rsidRDefault="008700A8" w:rsidP="008700A8">
      <w:pPr>
        <w:pStyle w:val="Default"/>
        <w:rPr>
          <w:rFonts w:ascii="Verdana" w:hAnsi="Verdana" w:cs="Times New Roman"/>
          <w:bCs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49.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Redovan posao izvoza robe na primjeru poduzetnika x</w:t>
      </w:r>
    </w:p>
    <w:p w:rsidR="008700A8" w:rsidRPr="00322BE6" w:rsidRDefault="008700A8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50.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Redovan posao uvoza robe na primjeru poduzetnika x</w:t>
      </w:r>
    </w:p>
    <w:p w:rsidR="008700A8" w:rsidRPr="00322BE6" w:rsidRDefault="008700A8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51.</w:t>
      </w:r>
      <w:r w:rsidR="008700A8" w:rsidRPr="00322BE6">
        <w:rPr>
          <w:rFonts w:ascii="Verdana" w:hAnsi="Verdana"/>
          <w:color w:val="385623" w:themeColor="accent6" w:themeShade="80"/>
          <w:sz w:val="20"/>
          <w:szCs w:val="20"/>
        </w:rPr>
        <w:t xml:space="preserve"> Značenje vanjske trgovine u gospodarstvu RH</w:t>
      </w:r>
    </w:p>
    <w:p w:rsidR="008700A8" w:rsidRPr="00322BE6" w:rsidRDefault="008700A8" w:rsidP="008700A8">
      <w:pPr>
        <w:pStyle w:val="Default"/>
        <w:rPr>
          <w:rFonts w:ascii="Verdana" w:hAnsi="Verdana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52.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Važnost i specifičnosti međunarodnih sajmova za male poduzetnike</w:t>
      </w:r>
    </w:p>
    <w:p w:rsidR="008700A8" w:rsidRPr="00322BE6" w:rsidRDefault="008700A8" w:rsidP="008700A8">
      <w:pPr>
        <w:pStyle w:val="Default"/>
        <w:rPr>
          <w:rFonts w:ascii="Verdana" w:hAnsi="Verdana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53.</w:t>
      </w:r>
      <w:r w:rsidR="008700A8" w:rsidRPr="00322BE6">
        <w:rPr>
          <w:rFonts w:ascii="Verdana" w:hAnsi="Verdana"/>
          <w:color w:val="385623" w:themeColor="accent6" w:themeShade="80"/>
          <w:sz w:val="20"/>
          <w:szCs w:val="20"/>
        </w:rPr>
        <w:t xml:space="preserve"> Globalizacija tržišta </w:t>
      </w:r>
    </w:p>
    <w:p w:rsidR="008700A8" w:rsidRPr="00322BE6" w:rsidRDefault="008700A8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54.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Vanjskotrgovinska razmjena RH sa zemljama EU </w:t>
      </w:r>
    </w:p>
    <w:p w:rsidR="008700A8" w:rsidRPr="00322BE6" w:rsidRDefault="008700A8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55.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Turističke usluge u poslovanju sa inozemstvom na primjeru turističke agencije x</w:t>
      </w:r>
    </w:p>
    <w:p w:rsidR="008700A8" w:rsidRPr="00322BE6" w:rsidRDefault="008700A8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56.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Poslovi izvoza i uvoza robe u zakup na primjeru ugovaranja </w:t>
      </w:r>
      <w:proofErr w:type="spellStart"/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>le</w:t>
      </w:r>
      <w:r w:rsidR="00FA054D">
        <w:rPr>
          <w:rFonts w:ascii="Verdana" w:hAnsi="Verdana" w:cs="Times New Roman"/>
          <w:color w:val="385623" w:themeColor="accent6" w:themeShade="80"/>
          <w:sz w:val="20"/>
          <w:szCs w:val="20"/>
        </w:rPr>
        <w:t>a</w:t>
      </w:r>
      <w:bookmarkStart w:id="0" w:name="_GoBack"/>
      <w:bookmarkEnd w:id="0"/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>sing</w:t>
      </w:r>
      <w:proofErr w:type="spellEnd"/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posla</w:t>
      </w:r>
    </w:p>
    <w:p w:rsidR="008700A8" w:rsidRPr="00322BE6" w:rsidRDefault="008700A8" w:rsidP="008700A8">
      <w:pPr>
        <w:pStyle w:val="Default"/>
        <w:rPr>
          <w:rFonts w:ascii="Verdana" w:hAnsi="Verdana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57.</w:t>
      </w:r>
      <w:r w:rsidR="008700A8" w:rsidRPr="00322BE6">
        <w:rPr>
          <w:rFonts w:ascii="Verdana" w:hAnsi="Verdana"/>
          <w:color w:val="385623" w:themeColor="accent6" w:themeShade="80"/>
          <w:sz w:val="20"/>
          <w:szCs w:val="20"/>
        </w:rPr>
        <w:t xml:space="preserve"> Vanjskotrgovinski posrednici – primjer posredništva u prodaji proizvoda tvrtke 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x </w:t>
      </w:r>
    </w:p>
    <w:p w:rsidR="008700A8" w:rsidRPr="00322BE6" w:rsidRDefault="008700A8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58.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Usluge zastupanja i konsignacije prodaje strane robe na primjeru poduzetnika x</w:t>
      </w:r>
    </w:p>
    <w:p w:rsidR="008700A8" w:rsidRPr="00322BE6" w:rsidRDefault="008700A8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8700A8" w:rsidRPr="00322BE6" w:rsidRDefault="009A23A4" w:rsidP="008700A8">
      <w:pPr>
        <w:pStyle w:val="Default"/>
        <w:rPr>
          <w:rFonts w:ascii="Verdana" w:hAnsi="Verdana" w:cs="Times New Roman"/>
          <w:color w:val="385623" w:themeColor="accent6" w:themeShade="80"/>
          <w:sz w:val="20"/>
          <w:szCs w:val="20"/>
        </w:rPr>
      </w:pPr>
      <w:r>
        <w:rPr>
          <w:rFonts w:ascii="Verdana" w:hAnsi="Verdana" w:cs="Times New Roman"/>
          <w:color w:val="385623" w:themeColor="accent6" w:themeShade="80"/>
          <w:sz w:val="20"/>
          <w:szCs w:val="20"/>
        </w:rPr>
        <w:t>59.</w:t>
      </w:r>
      <w:r w:rsidR="008700A8" w:rsidRPr="00322BE6">
        <w:rPr>
          <w:rFonts w:ascii="Verdana" w:hAnsi="Verdana" w:cs="Times New Roman"/>
          <w:color w:val="385623" w:themeColor="accent6" w:themeShade="80"/>
          <w:sz w:val="20"/>
          <w:szCs w:val="20"/>
        </w:rPr>
        <w:t xml:space="preserve"> Tema po izboru učenika</w:t>
      </w:r>
    </w:p>
    <w:p w:rsidR="008700A8" w:rsidRPr="00322BE6" w:rsidRDefault="008700A8" w:rsidP="008700A8">
      <w:pPr>
        <w:rPr>
          <w:rFonts w:ascii="Verdana" w:hAnsi="Verdana" w:cs="Times New Roman"/>
          <w:sz w:val="20"/>
          <w:szCs w:val="20"/>
        </w:rPr>
      </w:pPr>
    </w:p>
    <w:p w:rsidR="008700A8" w:rsidRPr="00322BE6" w:rsidRDefault="008700A8" w:rsidP="006529A4">
      <w:pPr>
        <w:contextualSpacing/>
        <w:rPr>
          <w:rFonts w:ascii="Verdana" w:hAnsi="Verdana"/>
          <w:color w:val="385623" w:themeColor="accent6" w:themeShade="80"/>
        </w:rPr>
      </w:pPr>
    </w:p>
    <w:p w:rsidR="00F64B39" w:rsidRPr="00322BE6" w:rsidRDefault="00F64B39" w:rsidP="00F64B39">
      <w:pPr>
        <w:rPr>
          <w:rFonts w:ascii="Verdana" w:hAnsi="Verdana"/>
          <w:color w:val="385623" w:themeColor="accent6" w:themeShade="80"/>
        </w:rPr>
      </w:pPr>
    </w:p>
    <w:p w:rsidR="008700A8" w:rsidRPr="00322BE6" w:rsidRDefault="008700A8" w:rsidP="00F64B39">
      <w:pPr>
        <w:rPr>
          <w:rFonts w:ascii="Verdana" w:hAnsi="Verdana"/>
          <w:color w:val="385623" w:themeColor="accent6" w:themeShade="80"/>
        </w:rPr>
      </w:pPr>
    </w:p>
    <w:p w:rsidR="006529A4" w:rsidRPr="00322BE6" w:rsidRDefault="006529A4" w:rsidP="00F64B39">
      <w:pPr>
        <w:rPr>
          <w:rFonts w:ascii="Verdana" w:hAnsi="Verdana"/>
          <w:color w:val="385623" w:themeColor="accent6" w:themeShade="80"/>
        </w:rPr>
      </w:pPr>
    </w:p>
    <w:p w:rsidR="006529A4" w:rsidRPr="00322BE6" w:rsidRDefault="006529A4" w:rsidP="00F64B39">
      <w:pPr>
        <w:rPr>
          <w:rFonts w:ascii="Verdana" w:hAnsi="Verdana"/>
          <w:color w:val="385623" w:themeColor="accent6" w:themeShade="80"/>
        </w:rPr>
      </w:pPr>
    </w:p>
    <w:p w:rsidR="006529A4" w:rsidRPr="00322BE6" w:rsidRDefault="006529A4" w:rsidP="00F64B39">
      <w:pPr>
        <w:rPr>
          <w:rFonts w:ascii="Verdana" w:hAnsi="Verdana"/>
          <w:b/>
          <w:color w:val="385623" w:themeColor="accent6" w:themeShade="80"/>
        </w:rPr>
      </w:pP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color w:val="385623" w:themeColor="accent6" w:themeShade="80"/>
        </w:rPr>
        <w:tab/>
      </w:r>
      <w:r w:rsidRPr="00322BE6">
        <w:rPr>
          <w:rFonts w:ascii="Verdana" w:hAnsi="Verdana"/>
          <w:b/>
          <w:color w:val="385623" w:themeColor="accent6" w:themeShade="80"/>
        </w:rPr>
        <w:t>Ravnatelj</w:t>
      </w:r>
    </w:p>
    <w:p w:rsidR="006529A4" w:rsidRPr="00322BE6" w:rsidRDefault="006529A4" w:rsidP="00F64B39">
      <w:pPr>
        <w:rPr>
          <w:rFonts w:ascii="Verdana" w:hAnsi="Verdana"/>
          <w:b/>
          <w:color w:val="385623" w:themeColor="accent6" w:themeShade="80"/>
        </w:rPr>
      </w:pPr>
      <w:r w:rsidRPr="00322BE6">
        <w:rPr>
          <w:rFonts w:ascii="Verdana" w:hAnsi="Verdana"/>
          <w:b/>
          <w:color w:val="385623" w:themeColor="accent6" w:themeShade="80"/>
        </w:rPr>
        <w:tab/>
      </w:r>
      <w:r w:rsidRPr="00322BE6">
        <w:rPr>
          <w:rFonts w:ascii="Verdana" w:hAnsi="Verdana"/>
          <w:b/>
          <w:color w:val="385623" w:themeColor="accent6" w:themeShade="80"/>
        </w:rPr>
        <w:tab/>
      </w:r>
      <w:r w:rsidRPr="00322BE6">
        <w:rPr>
          <w:rFonts w:ascii="Verdana" w:hAnsi="Verdana"/>
          <w:b/>
          <w:color w:val="385623" w:themeColor="accent6" w:themeShade="80"/>
        </w:rPr>
        <w:tab/>
      </w:r>
      <w:r w:rsidRPr="00322BE6">
        <w:rPr>
          <w:rFonts w:ascii="Verdana" w:hAnsi="Verdana"/>
          <w:b/>
          <w:color w:val="385623" w:themeColor="accent6" w:themeShade="80"/>
        </w:rPr>
        <w:tab/>
      </w:r>
      <w:r w:rsidRPr="00322BE6">
        <w:rPr>
          <w:rFonts w:ascii="Verdana" w:hAnsi="Verdana"/>
          <w:b/>
          <w:color w:val="385623" w:themeColor="accent6" w:themeShade="80"/>
        </w:rPr>
        <w:tab/>
      </w:r>
      <w:r w:rsidRPr="00322BE6">
        <w:rPr>
          <w:rFonts w:ascii="Verdana" w:hAnsi="Verdana"/>
          <w:b/>
          <w:color w:val="385623" w:themeColor="accent6" w:themeShade="80"/>
        </w:rPr>
        <w:tab/>
      </w:r>
      <w:r w:rsidRPr="00322BE6">
        <w:rPr>
          <w:rFonts w:ascii="Verdana" w:hAnsi="Verdana"/>
          <w:b/>
          <w:color w:val="385623" w:themeColor="accent6" w:themeShade="80"/>
        </w:rPr>
        <w:tab/>
        <w:t xml:space="preserve">Igor Friedrich, dipl. </w:t>
      </w:r>
      <w:proofErr w:type="spellStart"/>
      <w:r w:rsidRPr="00322BE6">
        <w:rPr>
          <w:rFonts w:ascii="Verdana" w:hAnsi="Verdana"/>
          <w:b/>
          <w:color w:val="385623" w:themeColor="accent6" w:themeShade="80"/>
        </w:rPr>
        <w:t>teol</w:t>
      </w:r>
      <w:proofErr w:type="spellEnd"/>
      <w:r w:rsidRPr="00322BE6">
        <w:rPr>
          <w:rFonts w:ascii="Verdana" w:hAnsi="Verdana"/>
          <w:b/>
          <w:color w:val="385623" w:themeColor="accent6" w:themeShade="80"/>
        </w:rPr>
        <w:t>.</w:t>
      </w:r>
    </w:p>
    <w:p w:rsidR="00F64B39" w:rsidRPr="00322BE6" w:rsidRDefault="00F64B39" w:rsidP="00F64B39">
      <w:pPr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rStyle w:val="apple-style-span"/>
          <w:rFonts w:ascii="Verdana" w:hAnsi="Verdana" w:cs="Times New Roman"/>
          <w:color w:val="385623" w:themeColor="accent6" w:themeShade="80"/>
        </w:rPr>
      </w:pPr>
    </w:p>
    <w:p w:rsidR="002E1AC1" w:rsidRPr="006529A4" w:rsidRDefault="002E1AC1" w:rsidP="002E1AC1">
      <w:pPr>
        <w:pStyle w:val="Odlomakpopisa"/>
        <w:jc w:val="both"/>
        <w:rPr>
          <w:rFonts w:ascii="Verdana" w:hAnsi="Verdana" w:cs="Times New Roman"/>
          <w:color w:val="385623" w:themeColor="accent6" w:themeShade="80"/>
          <w:sz w:val="20"/>
          <w:szCs w:val="20"/>
        </w:rPr>
      </w:pPr>
    </w:p>
    <w:p w:rsidR="002E1AC1" w:rsidRPr="006529A4" w:rsidRDefault="002E1AC1">
      <w:pPr>
        <w:rPr>
          <w:rFonts w:ascii="Verdana" w:hAnsi="Verdana"/>
          <w:color w:val="385623" w:themeColor="accent6" w:themeShade="80"/>
          <w:sz w:val="20"/>
          <w:szCs w:val="20"/>
        </w:rPr>
      </w:pPr>
    </w:p>
    <w:sectPr w:rsidR="002E1AC1" w:rsidRPr="006529A4" w:rsidSect="008F24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6F82"/>
    <w:multiLevelType w:val="hybridMultilevel"/>
    <w:tmpl w:val="81669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E5ED7"/>
    <w:multiLevelType w:val="hybridMultilevel"/>
    <w:tmpl w:val="32729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631F"/>
    <w:multiLevelType w:val="hybridMultilevel"/>
    <w:tmpl w:val="448C29E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1F"/>
    <w:rsid w:val="001B1500"/>
    <w:rsid w:val="002B5046"/>
    <w:rsid w:val="002E1AC1"/>
    <w:rsid w:val="00322BE6"/>
    <w:rsid w:val="006529A4"/>
    <w:rsid w:val="008700A8"/>
    <w:rsid w:val="008F241F"/>
    <w:rsid w:val="009A23A4"/>
    <w:rsid w:val="00AB00D3"/>
    <w:rsid w:val="00F64B39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8E53-0A9B-40EB-9DD4-F036C69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AC1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Zadanifontodlomka"/>
    <w:rsid w:val="002E1AC1"/>
  </w:style>
  <w:style w:type="paragraph" w:customStyle="1" w:styleId="Default">
    <w:name w:val="Default"/>
    <w:rsid w:val="008700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2017-10-17T12:22:00Z</dcterms:created>
  <dcterms:modified xsi:type="dcterms:W3CDTF">2017-10-19T16:20:00Z</dcterms:modified>
</cp:coreProperties>
</file>